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0" w:name="_Toc15396475"/>
      <w:bookmarkStart w:id="1" w:name="_Toc15377193"/>
      <w:bookmarkStart w:id="2" w:name="_Toc15378441"/>
      <w:bookmarkStart w:id="3" w:name="_Toc15396597"/>
      <w:bookmarkStart w:id="4" w:name="_Toc15377425"/>
      <w:bookmarkStart w:id="5" w:name="_Toc15306267"/>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方正小标宋简体" w:eastAsia="方正小标宋简体" w:cs="方正小标宋简体"/>
          <w:sz w:val="72"/>
          <w:szCs w:val="72"/>
        </w:rPr>
        <w:t>四川省内江师范学院</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8518"/>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06268"/>
      <w:bookmarkStart w:id="8" w:name="_Toc15396598"/>
      <w:bookmarkStart w:id="9" w:name="_Toc15378442"/>
      <w:bookmarkStart w:id="10" w:name="_Toc15396476"/>
      <w:bookmarkStart w:id="11" w:name="_Toc15377194"/>
      <w:bookmarkStart w:id="12" w:name="_Toc15377426"/>
      <w:bookmarkStart w:id="13" w:name="_Toc21002"/>
      <w:r>
        <w:rPr>
          <w:rFonts w:hint="eastAsia" w:ascii="方正小标宋简体" w:hAnsi="方正小标宋简体" w:eastAsia="方正小标宋简体" w:cs="方正小标宋简体"/>
          <w:sz w:val="72"/>
          <w:szCs w:val="72"/>
        </w:rPr>
        <w:t>部门决算</w:t>
      </w:r>
      <w:bookmarkEnd w:id="7"/>
      <w:bookmarkEnd w:id="8"/>
      <w:bookmarkEnd w:id="9"/>
      <w:bookmarkEnd w:id="10"/>
      <w:bookmarkEnd w:id="11"/>
      <w:bookmarkEnd w:id="12"/>
      <w:r>
        <w:rPr>
          <w:rFonts w:hint="eastAsia" w:ascii="方正小标宋简体" w:hAnsi="方正小标宋简体" w:eastAsia="方正小标宋简体" w:cs="方正小标宋简体"/>
          <w:sz w:val="72"/>
          <w:szCs w:val="72"/>
        </w:rPr>
        <w:t>编制说明</w:t>
      </w:r>
      <w:bookmarkEnd w:id="13"/>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  录</w:t>
      </w:r>
    </w:p>
    <w:p>
      <w:pPr>
        <w:pStyle w:val="11"/>
      </w:pPr>
      <w:r>
        <w:rPr>
          <w:rFonts w:hint="eastAsia"/>
        </w:rPr>
        <w:t>公开时间：2023年9月22日</w:t>
      </w:r>
    </w:p>
    <w:sdt>
      <w:sdtPr>
        <w:rPr>
          <w:rFonts w:ascii="宋体" w:hAnsi="宋体"/>
        </w:rPr>
        <w:id w:val="147482370"/>
        <w:docPartObj>
          <w:docPartGallery w:val="Table of Contents"/>
          <w:docPartUnique/>
        </w:docPartObj>
      </w:sdtPr>
      <w:sdtEndPr>
        <w:rPr>
          <w:rFonts w:ascii="宋体" w:hAnsi="宋体"/>
        </w:rPr>
      </w:sdtEndPr>
      <w:sdtContent>
        <w:p>
          <w:pPr>
            <w:jc w:val="center"/>
          </w:pPr>
          <w:r>
            <w:fldChar w:fldCharType="begin"/>
          </w:r>
          <w:r>
            <w:instrText xml:space="preserve">TOC \o "1-3" \h \u </w:instrText>
          </w:r>
          <w:r>
            <w:fldChar w:fldCharType="separate"/>
          </w:r>
        </w:p>
        <w:p>
          <w:pPr>
            <w:pStyle w:val="11"/>
            <w:tabs>
              <w:tab w:val="right" w:leader="dot" w:pos="8306"/>
              <w:tab w:val="clear" w:pos="8296"/>
            </w:tabs>
            <w:jc w:val="both"/>
            <w:rPr>
              <w:rFonts w:ascii="黑体" w:hAnsi="黑体" w:eastAsia="黑体" w:cs="黑体"/>
            </w:rPr>
          </w:pPr>
          <w:r>
            <w:fldChar w:fldCharType="begin"/>
          </w:r>
          <w:r>
            <w:instrText xml:space="preserve"> HYPERLINK \l "_Toc8984" </w:instrText>
          </w:r>
          <w:r>
            <w:fldChar w:fldCharType="separate"/>
          </w:r>
          <w:r>
            <w:rPr>
              <w:rFonts w:hint="eastAsia" w:ascii="黑体" w:hAnsi="黑体" w:eastAsia="黑体" w:cs="黑体"/>
            </w:rPr>
            <w:t>第一部分 部门概况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_Toc8984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"_Toc8799" </w:instrText>
          </w:r>
          <w:r>
            <w:fldChar w:fldCharType="separate"/>
          </w:r>
          <w:r>
            <w:rPr>
              <w:rFonts w:hint="eastAsia" w:ascii="黑体" w:hAnsi="黑体" w:eastAsia="黑体" w:cs="黑体"/>
            </w:rPr>
            <w:t>一、部门职责</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_Toc8799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"_Toc22121" </w:instrText>
          </w:r>
          <w:r>
            <w:fldChar w:fldCharType="separate"/>
          </w:r>
          <w:r>
            <w:rPr>
              <w:rFonts w:hint="eastAsia" w:ascii="黑体" w:hAnsi="黑体" w:eastAsia="黑体" w:cs="黑体"/>
            </w:rPr>
            <w:t>二、机构设置</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_Toc22121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11"/>
            <w:tabs>
              <w:tab w:val="right" w:leader="dot" w:pos="8306"/>
              <w:tab w:val="clear" w:pos="8296"/>
            </w:tabs>
            <w:rPr>
              <w:rFonts w:ascii="黑体" w:hAnsi="黑体" w:eastAsia="黑体" w:cs="黑体"/>
            </w:rPr>
          </w:pPr>
          <w:r>
            <w:fldChar w:fldCharType="begin"/>
          </w:r>
          <w:r>
            <w:instrText xml:space="preserve"> HYPERLINK \l "_Toc10456" </w:instrText>
          </w:r>
          <w:r>
            <w:fldChar w:fldCharType="separate"/>
          </w:r>
          <w:r>
            <w:rPr>
              <w:rFonts w:hint="eastAsia" w:ascii="黑体" w:hAnsi="黑体" w:eastAsia="黑体" w:cs="黑体"/>
            </w:rPr>
            <w:t>第二部分 2022年度部门决算情况说明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_Toc10456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"_Toc1178" </w:instrText>
          </w:r>
          <w:r>
            <w:fldChar w:fldCharType="separate"/>
          </w:r>
          <w:r>
            <w:rPr>
              <w:rFonts w:hint="eastAsia" w:ascii="黑体" w:hAnsi="黑体" w:eastAsia="黑体" w:cs="黑体"/>
            </w:rPr>
            <w:t xml:space="preserve">一、 </w:t>
          </w:r>
          <w:r>
            <w:rPr>
              <w:rFonts w:hint="eastAsia" w:ascii="黑体" w:hAnsi="黑体" w:eastAsia="黑体" w:cs="黑体"/>
              <w:szCs w:val="32"/>
            </w:rPr>
            <w:t>收</w:t>
          </w:r>
          <w:r>
            <w:rPr>
              <w:rFonts w:hint="eastAsia" w:ascii="黑体" w:hAnsi="黑体" w:eastAsia="黑体" w:cs="黑体"/>
            </w:rPr>
            <w:t>入支出决算总体情况说明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_Toc1178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"_Toc11686" </w:instrText>
          </w:r>
          <w:r>
            <w:fldChar w:fldCharType="separate"/>
          </w:r>
          <w:r>
            <w:rPr>
              <w:rFonts w:hint="eastAsia" w:ascii="黑体" w:hAnsi="黑体" w:eastAsia="黑体" w:cs="黑体"/>
            </w:rPr>
            <w:t xml:space="preserve">二、 </w:t>
          </w:r>
          <w:r>
            <w:rPr>
              <w:rFonts w:hint="eastAsia" w:ascii="黑体" w:hAnsi="黑体" w:eastAsia="黑体" w:cs="黑体"/>
              <w:szCs w:val="32"/>
            </w:rPr>
            <w:t>收</w:t>
          </w:r>
          <w:r>
            <w:rPr>
              <w:rFonts w:hint="eastAsia" w:ascii="黑体" w:hAnsi="黑体" w:eastAsia="黑体" w:cs="黑体"/>
            </w:rPr>
            <w:t>入决算情况说明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_Toc11686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"_Toc2340" </w:instrText>
          </w:r>
          <w:r>
            <w:fldChar w:fldCharType="separate"/>
          </w:r>
          <w:r>
            <w:rPr>
              <w:rFonts w:hint="eastAsia" w:ascii="黑体" w:hAnsi="黑体" w:eastAsia="黑体" w:cs="黑体"/>
            </w:rPr>
            <w:t xml:space="preserve">三、 </w:t>
          </w:r>
          <w:r>
            <w:rPr>
              <w:rFonts w:hint="eastAsia" w:ascii="黑体" w:hAnsi="黑体" w:eastAsia="黑体" w:cs="黑体"/>
              <w:szCs w:val="32"/>
            </w:rPr>
            <w:t>支</w:t>
          </w:r>
          <w:r>
            <w:rPr>
              <w:rFonts w:hint="eastAsia" w:ascii="黑体" w:hAnsi="黑体" w:eastAsia="黑体" w:cs="黑体"/>
            </w:rPr>
            <w:t>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_Toc2340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"_Toc18215" </w:instrText>
          </w:r>
          <w:r>
            <w:fldChar w:fldCharType="separate"/>
          </w:r>
          <w:r>
            <w:rPr>
              <w:rFonts w:hint="eastAsia" w:ascii="黑体" w:hAnsi="黑体" w:eastAsia="黑体" w:cs="黑体"/>
              <w:szCs w:val="32"/>
            </w:rPr>
            <w:t>四、财</w:t>
          </w:r>
          <w:r>
            <w:rPr>
              <w:rFonts w:hint="eastAsia" w:ascii="黑体" w:hAnsi="黑体" w:eastAsia="黑体" w:cs="黑体"/>
            </w:rPr>
            <w:t>政拨款收入支出决算总体情况说明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_Toc18215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"_Toc11239" </w:instrText>
          </w:r>
          <w:r>
            <w:fldChar w:fldCharType="separate"/>
          </w:r>
          <w:r>
            <w:rPr>
              <w:rFonts w:hint="eastAsia" w:ascii="黑体" w:hAnsi="黑体" w:eastAsia="黑体" w:cs="黑体"/>
              <w:szCs w:val="32"/>
            </w:rPr>
            <w:t>五、一</w:t>
          </w:r>
          <w:r>
            <w:rPr>
              <w:rFonts w:hint="eastAsia" w:ascii="黑体" w:hAnsi="黑体" w:eastAsia="黑体" w:cs="黑体"/>
            </w:rPr>
            <w:t>般公共预算财政拨款支出决算情况说明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_Toc11239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"_Toc7011" </w:instrText>
          </w:r>
          <w:r>
            <w:fldChar w:fldCharType="separate"/>
          </w:r>
          <w:r>
            <w:rPr>
              <w:rFonts w:hint="eastAsia" w:ascii="黑体" w:hAnsi="黑体" w:eastAsia="黑体" w:cs="黑体"/>
              <w:szCs w:val="32"/>
            </w:rPr>
            <w:t>六、一</w:t>
          </w:r>
          <w:r>
            <w:rPr>
              <w:rFonts w:hint="eastAsia" w:ascii="黑体" w:hAnsi="黑体" w:eastAsia="黑体" w:cs="黑体"/>
            </w:rPr>
            <w:t>般公共预算财政拨款基本支出决算情况说明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_Toc7011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"_Toc13164" </w:instrText>
          </w:r>
          <w:r>
            <w:fldChar w:fldCharType="separate"/>
          </w:r>
          <w:r>
            <w:rPr>
              <w:rFonts w:hint="eastAsia" w:ascii="黑体" w:hAnsi="黑体" w:eastAsia="黑体" w:cs="黑体"/>
              <w:szCs w:val="32"/>
            </w:rPr>
            <w:t>七、</w:t>
          </w:r>
          <w:r>
            <w:rPr>
              <w:rFonts w:hint="eastAsia" w:ascii="黑体" w:hAnsi="黑体" w:eastAsia="黑体" w:cs="黑体"/>
            </w:rPr>
            <w:t>财政拨款“三公”经费支出决算情况说明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_Toc13164 \h </w:instrText>
          </w:r>
          <w:r>
            <w:rPr>
              <w:rFonts w:hint="eastAsia" w:ascii="黑体" w:hAnsi="黑体" w:eastAsia="黑体" w:cs="黑体"/>
            </w:rPr>
            <w:fldChar w:fldCharType="separate"/>
          </w:r>
          <w:r>
            <w:rPr>
              <w:rFonts w:hint="eastAsia"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"_Toc3065" </w:instrText>
          </w:r>
          <w:r>
            <w:fldChar w:fldCharType="separate"/>
          </w:r>
          <w:r>
            <w:rPr>
              <w:rFonts w:hint="eastAsia" w:ascii="黑体" w:hAnsi="黑体" w:eastAsia="黑体" w:cs="黑体"/>
              <w:szCs w:val="32"/>
            </w:rPr>
            <w:t>八、</w:t>
          </w:r>
          <w:r>
            <w:rPr>
              <w:rFonts w:hint="eastAsia" w:ascii="黑体" w:hAnsi="黑体" w:eastAsia="黑体" w:cs="黑体"/>
            </w:rPr>
            <w:t>政府性基金预算支出决算情况说明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_Toc3065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"_Toc3406" </w:instrText>
          </w:r>
          <w:r>
            <w:fldChar w:fldCharType="separate"/>
          </w:r>
          <w:r>
            <w:rPr>
              <w:rFonts w:hint="eastAsia" w:ascii="黑体" w:hAnsi="黑体" w:eastAsia="黑体" w:cs="黑体"/>
            </w:rPr>
            <w:t>九、 国有资本经营预算支出决算情况说明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_Toc3406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"_Toc3168" </w:instrText>
          </w:r>
          <w:r>
            <w:fldChar w:fldCharType="separate"/>
          </w:r>
          <w:r>
            <w:rPr>
              <w:rFonts w:hint="eastAsia" w:ascii="黑体" w:hAnsi="黑体" w:eastAsia="黑体" w:cs="黑体"/>
            </w:rPr>
            <w:t>十、 其他重要事项的情况说明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_Toc3168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11"/>
            <w:tabs>
              <w:tab w:val="right" w:leader="dot" w:pos="8306"/>
              <w:tab w:val="clear" w:pos="8296"/>
            </w:tabs>
            <w:rPr>
              <w:rFonts w:ascii="黑体" w:hAnsi="黑体" w:eastAsia="黑体" w:cs="黑体"/>
            </w:rPr>
          </w:pPr>
          <w:r>
            <w:fldChar w:fldCharType="begin"/>
          </w:r>
          <w:r>
            <w:instrText xml:space="preserve"> HYPERLINK \l "_Toc29618" </w:instrText>
          </w:r>
          <w:r>
            <w:fldChar w:fldCharType="separate"/>
          </w:r>
          <w:r>
            <w:rPr>
              <w:rFonts w:hint="eastAsia" w:ascii="黑体" w:hAnsi="黑体" w:eastAsia="黑体" w:cs="黑体"/>
            </w:rPr>
            <w:t xml:space="preserve">第三部分 </w:t>
          </w:r>
          <w:r>
            <w:rPr>
              <w:rFonts w:hint="eastAsia" w:ascii="黑体" w:hAnsi="黑体" w:eastAsia="黑体" w:cs="黑体"/>
              <w:szCs w:val="44"/>
            </w:rPr>
            <w:t>名</w:t>
          </w:r>
          <w:r>
            <w:rPr>
              <w:rFonts w:hint="eastAsia" w:ascii="黑体" w:hAnsi="黑体" w:eastAsia="黑体" w:cs="黑体"/>
            </w:rPr>
            <w:t>词解释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_Toc29618 \h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rPr>
            <w:fldChar w:fldCharType="end"/>
          </w:r>
        </w:p>
        <w:p>
          <w:pPr>
            <w:pStyle w:val="11"/>
            <w:tabs>
              <w:tab w:val="right" w:leader="dot" w:pos="8306"/>
              <w:tab w:val="clear" w:pos="8296"/>
            </w:tabs>
            <w:rPr>
              <w:rFonts w:ascii="黑体" w:hAnsi="黑体" w:eastAsia="黑体" w:cs="黑体"/>
            </w:rPr>
          </w:pPr>
          <w:r>
            <w:fldChar w:fldCharType="begin"/>
          </w:r>
          <w:r>
            <w:instrText xml:space="preserve"> HYPERLINK \l "_Toc31382" </w:instrText>
          </w:r>
          <w:r>
            <w:fldChar w:fldCharType="separate"/>
          </w:r>
          <w:r>
            <w:rPr>
              <w:rFonts w:hint="eastAsia" w:ascii="黑体" w:hAnsi="黑体" w:eastAsia="黑体" w:cs="黑体"/>
              <w:szCs w:val="44"/>
            </w:rPr>
            <w:t>第</w:t>
          </w:r>
          <w:r>
            <w:rPr>
              <w:rFonts w:hint="eastAsia" w:ascii="黑体" w:hAnsi="黑体" w:eastAsia="黑体" w:cs="黑体"/>
            </w:rPr>
            <w:t>四部分 附件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_Toc31382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11"/>
            <w:tabs>
              <w:tab w:val="right" w:leader="dot" w:pos="8306"/>
              <w:tab w:val="clear" w:pos="8296"/>
            </w:tabs>
            <w:rPr>
              <w:rFonts w:ascii="黑体" w:hAnsi="黑体" w:eastAsia="黑体" w:cs="黑体"/>
            </w:rPr>
          </w:pPr>
          <w:r>
            <w:fldChar w:fldCharType="begin"/>
          </w:r>
          <w:r>
            <w:instrText xml:space="preserve"> HYPERLINK \l "_Toc22664" </w:instrText>
          </w:r>
          <w:r>
            <w:fldChar w:fldCharType="separate"/>
          </w:r>
          <w:r>
            <w:rPr>
              <w:rFonts w:hint="eastAsia" w:ascii="黑体" w:hAnsi="黑体" w:eastAsia="黑体" w:cs="黑体"/>
              <w:szCs w:val="32"/>
            </w:rPr>
            <w:t>附件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_Toc22664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11"/>
            <w:tabs>
              <w:tab w:val="right" w:leader="dot" w:pos="8306"/>
              <w:tab w:val="clear" w:pos="8296"/>
            </w:tabs>
            <w:rPr>
              <w:rFonts w:ascii="黑体" w:hAnsi="黑体" w:eastAsia="黑体" w:cs="黑体"/>
            </w:rPr>
          </w:pPr>
          <w:r>
            <w:fldChar w:fldCharType="begin"/>
          </w:r>
          <w:r>
            <w:instrText xml:space="preserve"> HYPERLINK \l "_Toc10246" </w:instrText>
          </w:r>
          <w:r>
            <w:fldChar w:fldCharType="separate"/>
          </w:r>
          <w:r>
            <w:rPr>
              <w:rFonts w:hint="eastAsia" w:ascii="黑体" w:hAnsi="黑体" w:eastAsia="黑体" w:cs="黑体"/>
              <w:szCs w:val="44"/>
            </w:rPr>
            <w:t>第</w:t>
          </w:r>
          <w:r>
            <w:rPr>
              <w:rFonts w:hint="eastAsia" w:ascii="黑体" w:hAnsi="黑体" w:eastAsia="黑体" w:cs="黑体"/>
            </w:rPr>
            <w:t>五部分 附表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_Toc10246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"_Toc31231" </w:instrText>
          </w:r>
          <w:r>
            <w:fldChar w:fldCharType="separate"/>
          </w:r>
          <w:r>
            <w:rPr>
              <w:rFonts w:hint="eastAsia" w:ascii="黑体" w:hAnsi="黑体" w:eastAsia="黑体" w:cs="黑体"/>
            </w:rPr>
            <w:t>一、收入支出决算总表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_Toc31231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"_Toc3434" </w:instrText>
          </w:r>
          <w:r>
            <w:fldChar w:fldCharType="separate"/>
          </w:r>
          <w:r>
            <w:rPr>
              <w:rFonts w:hint="eastAsia" w:ascii="黑体" w:hAnsi="黑体" w:eastAsia="黑体" w:cs="黑体"/>
            </w:rPr>
            <w:t>二、收入决算表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_Toc3434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"_Toc5908" </w:instrText>
          </w:r>
          <w:r>
            <w:fldChar w:fldCharType="separate"/>
          </w:r>
          <w:r>
            <w:rPr>
              <w:rFonts w:hint="eastAsia" w:ascii="黑体" w:hAnsi="黑体" w:eastAsia="黑体" w:cs="黑体"/>
            </w:rPr>
            <w:t>三、支出决算表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_Toc5908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"_Toc20101" </w:instrText>
          </w:r>
          <w:r>
            <w:fldChar w:fldCharType="separate"/>
          </w:r>
          <w:r>
            <w:rPr>
              <w:rFonts w:hint="eastAsia" w:ascii="黑体" w:hAnsi="黑体" w:eastAsia="黑体" w:cs="黑体"/>
            </w:rPr>
            <w:t>四、财政拨款收入支出决算总表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_Toc20101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"_Toc2640" </w:instrText>
          </w:r>
          <w:r>
            <w:fldChar w:fldCharType="separate"/>
          </w:r>
          <w:r>
            <w:rPr>
              <w:rFonts w:hint="eastAsia" w:ascii="黑体" w:hAnsi="黑体" w:eastAsia="黑体" w:cs="黑体"/>
            </w:rPr>
            <w:t>五、财政拨款支出决算明细表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_Toc2640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"_Toc21066" </w:instrText>
          </w:r>
          <w:r>
            <w:fldChar w:fldCharType="separate"/>
          </w:r>
          <w:r>
            <w:rPr>
              <w:rFonts w:hint="eastAsia" w:ascii="黑体" w:hAnsi="黑体" w:eastAsia="黑体" w:cs="黑体"/>
            </w:rPr>
            <w:t>六、一般公共预算财政拨款支出决算表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_Toc21066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"_Toc25406" </w:instrText>
          </w:r>
          <w:r>
            <w:fldChar w:fldCharType="separate"/>
          </w:r>
          <w:r>
            <w:rPr>
              <w:rFonts w:hint="eastAsia" w:ascii="黑体" w:hAnsi="黑体" w:eastAsia="黑体" w:cs="黑体"/>
            </w:rPr>
            <w:t>七、一般公共预算财政拨款支出决算明细表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_Toc25406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"_Toc9451" </w:instrText>
          </w:r>
          <w:r>
            <w:fldChar w:fldCharType="separate"/>
          </w:r>
          <w:r>
            <w:rPr>
              <w:rFonts w:hint="eastAsia" w:ascii="黑体" w:hAnsi="黑体" w:eastAsia="黑体" w:cs="黑体"/>
            </w:rPr>
            <w:t>八、一般公共预算财政拨款基本支出决算表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_Toc9451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"_Toc13496" </w:instrText>
          </w:r>
          <w:r>
            <w:fldChar w:fldCharType="separate"/>
          </w:r>
          <w:r>
            <w:rPr>
              <w:rFonts w:hint="eastAsia" w:ascii="黑体" w:hAnsi="黑体" w:eastAsia="黑体" w:cs="黑体"/>
            </w:rPr>
            <w:t>九、一般公共预算财政拨款项目支出决算表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_Toc13496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"_Toc12169" </w:instrText>
          </w:r>
          <w:r>
            <w:fldChar w:fldCharType="separate"/>
          </w:r>
          <w:r>
            <w:rPr>
              <w:rFonts w:hint="eastAsia" w:ascii="黑体" w:hAnsi="黑体" w:eastAsia="黑体" w:cs="黑体"/>
            </w:rPr>
            <w:t>十、政府性基金预算财政拨款收入支出决算表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_Toc12169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"_Toc1628" </w:instrText>
          </w:r>
          <w:r>
            <w:fldChar w:fldCharType="separate"/>
          </w:r>
          <w:r>
            <w:rPr>
              <w:rFonts w:hint="eastAsia" w:ascii="黑体" w:hAnsi="黑体" w:eastAsia="黑体" w:cs="黑体"/>
            </w:rPr>
            <w:t>十一、国有资本经营预算财政拨款收入支出决算表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_Toc1628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"_Toc6719" </w:instrText>
          </w:r>
          <w:r>
            <w:fldChar w:fldCharType="separate"/>
          </w:r>
          <w:r>
            <w:rPr>
              <w:rFonts w:hint="eastAsia" w:ascii="黑体" w:hAnsi="黑体" w:eastAsia="黑体" w:cs="黑体"/>
            </w:rPr>
            <w:t>十二、国有资本经营预算财政拨款支出决算表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_Toc6719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pPr>
            <w:pStyle w:val="12"/>
            <w:tabs>
              <w:tab w:val="right" w:leader="dot" w:pos="8306"/>
              <w:tab w:val="clear" w:pos="8296"/>
            </w:tabs>
            <w:rPr>
              <w:rFonts w:ascii="黑体" w:hAnsi="黑体" w:eastAsia="黑体" w:cs="黑体"/>
            </w:rPr>
          </w:pPr>
          <w:r>
            <w:fldChar w:fldCharType="begin"/>
          </w:r>
          <w:r>
            <w:instrText xml:space="preserve"> HYPERLINK \l "_Toc2795" </w:instrText>
          </w:r>
          <w:r>
            <w:fldChar w:fldCharType="separate"/>
          </w:r>
          <w:r>
            <w:rPr>
              <w:rFonts w:hint="eastAsia" w:ascii="黑体" w:hAnsi="黑体" w:eastAsia="黑体" w:cs="黑体"/>
            </w:rPr>
            <w:t>十三、财政拨款“三公”经费支出决算表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_Toc2795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rPr>
            <w:fldChar w:fldCharType="end"/>
          </w:r>
        </w:p>
        <w:p>
          <w:r>
            <w:fldChar w:fldCharType="end"/>
          </w:r>
        </w:p>
      </w:sdtContent>
    </w:sdt>
    <w:p>
      <w:pPr>
        <w:jc w:val="center"/>
        <w:rPr>
          <w:rFonts w:ascii="黑体" w:eastAsia="黑体"/>
          <w:sz w:val="32"/>
          <w:szCs w:val="32"/>
        </w:rPr>
      </w:pPr>
      <w:bookmarkStart w:id="14" w:name="_Toc8984"/>
      <w:bookmarkStart w:id="15" w:name="_Toc15396599"/>
      <w:bookmarkStart w:id="16" w:name="_Toc15377196"/>
      <w:r>
        <w:rPr>
          <w:rStyle w:val="27"/>
          <w:rFonts w:hint="eastAsia" w:ascii="黑体" w:hAnsi="黑体" w:eastAsia="黑体" w:cstheme="minorBidi"/>
          <w:b w:val="0"/>
          <w:bCs w:val="0"/>
        </w:rPr>
        <w:t>第一部分</w:t>
      </w:r>
      <w:r>
        <w:rPr>
          <w:rFonts w:hint="eastAsia" w:ascii="黑体" w:hAnsi="黑体" w:eastAsia="黑体"/>
        </w:rPr>
        <w:t xml:space="preserve">   </w:t>
      </w:r>
      <w:r>
        <w:rPr>
          <w:rStyle w:val="27"/>
          <w:rFonts w:hint="eastAsia" w:ascii="黑体" w:hAnsi="黑体" w:eastAsia="黑体"/>
          <w:b w:val="0"/>
          <w:bCs w:val="0"/>
        </w:rPr>
        <w:t>部门概况</w:t>
      </w:r>
      <w:bookmarkEnd w:id="14"/>
      <w:bookmarkEnd w:id="15"/>
      <w:bookmarkEnd w:id="16"/>
    </w:p>
    <w:p>
      <w:pPr>
        <w:pStyle w:val="3"/>
        <w:rPr>
          <w:rFonts w:ascii="黑体" w:hAnsi="黑体" w:eastAsia="黑体"/>
          <w:b w:val="0"/>
        </w:rPr>
      </w:pPr>
      <w:bookmarkStart w:id="17" w:name="_Toc15377197"/>
      <w:bookmarkStart w:id="18" w:name="_Toc15396600"/>
      <w:bookmarkStart w:id="19" w:name="_Toc8799"/>
      <w:r>
        <w:rPr>
          <w:rFonts w:hint="eastAsia" w:ascii="黑体" w:hAnsi="黑体" w:eastAsia="黑体"/>
          <w:b w:val="0"/>
        </w:rPr>
        <w:t>一、</w:t>
      </w:r>
      <w:bookmarkEnd w:id="17"/>
      <w:bookmarkEnd w:id="18"/>
      <w:r>
        <w:rPr>
          <w:rFonts w:hint="eastAsia" w:ascii="黑体" w:hAnsi="黑体" w:eastAsia="黑体"/>
          <w:b w:val="0"/>
        </w:rPr>
        <w:t>部门职责</w:t>
      </w:r>
      <w:bookmarkEnd w:id="19"/>
    </w:p>
    <w:p>
      <w:pPr>
        <w:pStyle w:val="26"/>
        <w:snapToGrid w:val="0"/>
        <w:spacing w:line="520" w:lineRule="exact"/>
        <w:ind w:left="420" w:firstLine="640"/>
        <w:rPr>
          <w:rFonts w:ascii="仿宋" w:hAnsi="仿宋" w:eastAsia="仿宋"/>
          <w:sz w:val="32"/>
          <w:szCs w:val="32"/>
        </w:rPr>
      </w:pPr>
      <w:r>
        <w:rPr>
          <w:rFonts w:hint="eastAsia" w:ascii="仿宋" w:hAnsi="仿宋" w:eastAsia="仿宋"/>
          <w:sz w:val="32"/>
          <w:szCs w:val="32"/>
        </w:rPr>
        <w:t>内江师范学院是四川省人民政府举办，省教育厅主管的全日制普通本科高等院校，其主要职能简介如下：</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1.人才培养，通过教育教学活动，培养具有“三心、三能、三精神”的高素质应用型人才。</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2.学校根据社会需求、办学宗旨和培养目标，依法设置和调整学科和专业，开展学科和专业建设。</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3.根据学校所设置学科和专业的条件许可、行政主管部门核准的办学规模，制定招生方案，招收学生、学员。</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4.学校实施普通高等教育，以全日制本科教育为主，培养具有人文精神、科学精神、批判精神，具有真诚爱心、执着进取心、高度责任心，具有较强实践操作能力、良好沟通表达能力、创新创业能力的高素质应用型人才。积极发展研究生教育，拓展留学生教育，按需求发展继续教育、远程教育和非学历教育。</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5.学校依法确定和调整学历教育修业年限，按照国家有关规定，实行学分制、弹性学制和学位制，依法颁发学业证书和学位证书。</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6.学校开展科学基础研究和应用研究，推动学术进步、科技创新和成果转化，为国家与地方经济建设及社会事业发展提供人才、智力支持及知识贡献。</w:t>
      </w:r>
    </w:p>
    <w:p>
      <w:pPr>
        <w:snapToGrid w:val="0"/>
        <w:spacing w:line="520" w:lineRule="exact"/>
        <w:ind w:left="420" w:firstLine="640" w:firstLineChars="200"/>
        <w:rPr>
          <w:rFonts w:ascii="仿宋" w:hAnsi="仿宋" w:eastAsia="仿宋"/>
          <w:sz w:val="32"/>
          <w:szCs w:val="32"/>
        </w:rPr>
      </w:pPr>
      <w:r>
        <w:rPr>
          <w:rFonts w:hint="eastAsia" w:ascii="仿宋" w:hAnsi="仿宋" w:eastAsia="仿宋"/>
          <w:sz w:val="32"/>
          <w:szCs w:val="32"/>
        </w:rPr>
        <w:t>7.学校实行开放式办学，依法与政府机关、企事业单位、社会团体及其他社会组织等开展教育合作和科技文化交流，积极推进协同创新。积极开展国际教育学术交流合作，加速人才培养，开拓国际视野，提升办学水平，提高学校国际影响力。</w:t>
      </w:r>
    </w:p>
    <w:p/>
    <w:p>
      <w:pPr>
        <w:pStyle w:val="3"/>
        <w:rPr>
          <w:rStyle w:val="28"/>
          <w:b w:val="0"/>
          <w:bCs w:val="0"/>
        </w:rPr>
      </w:pPr>
      <w:bookmarkStart w:id="20" w:name="_Toc22121"/>
      <w:bookmarkStart w:id="21" w:name="_Toc15396601"/>
      <w:bookmarkStart w:id="22" w:name="_Toc15377200"/>
      <w:r>
        <w:rPr>
          <w:rFonts w:hint="eastAsia" w:ascii="黑体" w:eastAsia="黑体"/>
          <w:b w:val="0"/>
        </w:rPr>
        <w:t>二、</w:t>
      </w:r>
      <w:r>
        <w:rPr>
          <w:rFonts w:hint="eastAsia" w:ascii="黑体" w:hAnsi="黑体" w:eastAsia="黑体"/>
          <w:b w:val="0"/>
        </w:rPr>
        <w:t>机</w:t>
      </w:r>
      <w:r>
        <w:rPr>
          <w:rStyle w:val="28"/>
          <w:rFonts w:hint="eastAsia" w:ascii="黑体" w:hAnsi="黑体" w:eastAsia="黑体"/>
          <w:b w:val="0"/>
          <w:bCs w:val="0"/>
        </w:rPr>
        <w:t>构设置</w:t>
      </w:r>
      <w:bookmarkEnd w:id="20"/>
      <w:bookmarkEnd w:id="21"/>
      <w:bookmarkEnd w:id="22"/>
    </w:p>
    <w:p>
      <w:pPr>
        <w:ind w:firstLine="800" w:firstLineChars="250"/>
        <w:rPr>
          <w:rFonts w:ascii="仿宋" w:hAnsi="仿宋" w:eastAsia="仿宋"/>
          <w:sz w:val="32"/>
          <w:szCs w:val="32"/>
        </w:rPr>
      </w:pPr>
      <w:r>
        <w:rPr>
          <w:rFonts w:hint="eastAsia" w:ascii="仿宋" w:hAnsi="仿宋" w:eastAsia="仿宋"/>
          <w:sz w:val="32"/>
          <w:szCs w:val="32"/>
        </w:rPr>
        <w:t>内江师范学院下属二级预算单位0个，其中行政单位0个，参照公务员法管理的事业单位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ind w:firstLine="800" w:firstLineChars="250"/>
        <w:rPr>
          <w:rFonts w:ascii="仿宋" w:hAnsi="仿宋" w:eastAsia="仿宋"/>
          <w:sz w:val="32"/>
          <w:szCs w:val="32"/>
        </w:rPr>
      </w:pPr>
      <w:r>
        <w:rPr>
          <w:rFonts w:hint="eastAsia" w:ascii="仿宋" w:hAnsi="仿宋" w:eastAsia="仿宋"/>
          <w:sz w:val="32"/>
          <w:szCs w:val="32"/>
        </w:rPr>
        <w:t>无纳入内江师范学院2022年度部门决算编制范围的二级预算。</w:t>
      </w: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r>
        <w:rPr>
          <w:rFonts w:ascii="仿宋" w:hAnsi="仿宋" w:eastAsia="仿宋"/>
          <w:sz w:val="32"/>
          <w:szCs w:val="32"/>
        </w:rPr>
        <w:br w:type="page"/>
      </w:r>
    </w:p>
    <w:p>
      <w:pPr>
        <w:widowControl/>
        <w:jc w:val="left"/>
        <w:rPr>
          <w:rFonts w:ascii="仿宋" w:hAnsi="仿宋" w:eastAsia="仿宋"/>
          <w:kern w:val="0"/>
          <w:sz w:val="32"/>
          <w:szCs w:val="32"/>
        </w:rPr>
      </w:pPr>
    </w:p>
    <w:p>
      <w:pPr>
        <w:pStyle w:val="2"/>
        <w:ind w:right="440"/>
        <w:jc w:val="center"/>
        <w:rPr>
          <w:rStyle w:val="27"/>
          <w:rFonts w:ascii="黑体" w:hAnsi="黑体" w:eastAsia="黑体"/>
          <w:b w:val="0"/>
          <w:bCs/>
        </w:rPr>
      </w:pPr>
      <w:bookmarkStart w:id="23" w:name="_Toc15377204"/>
      <w:bookmarkStart w:id="24" w:name="_Toc15396602"/>
      <w:bookmarkStart w:id="25" w:name="_Toc10456"/>
      <w:r>
        <w:rPr>
          <w:rFonts w:hint="eastAsia" w:ascii="黑体" w:hAnsi="黑体" w:eastAsia="黑体"/>
          <w:b w:val="0"/>
        </w:rPr>
        <w:t xml:space="preserve"> 第二部分 2022年度</w:t>
      </w:r>
      <w:r>
        <w:rPr>
          <w:rStyle w:val="27"/>
          <w:rFonts w:hint="eastAsia" w:ascii="黑体" w:hAnsi="黑体" w:eastAsia="黑体"/>
          <w:b w:val="0"/>
          <w:bCs/>
        </w:rPr>
        <w:t>部门决算情况说明</w:t>
      </w:r>
      <w:bookmarkEnd w:id="23"/>
      <w:bookmarkEnd w:id="24"/>
      <w:bookmarkEnd w:id="25"/>
    </w:p>
    <w:p>
      <w:pPr>
        <w:pStyle w:val="26"/>
        <w:numPr>
          <w:ilvl w:val="0"/>
          <w:numId w:val="1"/>
        </w:numPr>
        <w:spacing w:line="600" w:lineRule="exact"/>
        <w:ind w:firstLineChars="0"/>
        <w:outlineLvl w:val="1"/>
        <w:rPr>
          <w:rStyle w:val="28"/>
          <w:rFonts w:ascii="黑体" w:hAnsi="黑体" w:eastAsia="黑体"/>
          <w:b w:val="0"/>
        </w:rPr>
      </w:pPr>
      <w:bookmarkStart w:id="26" w:name="_Toc15396603"/>
      <w:bookmarkStart w:id="27" w:name="_Toc1178"/>
      <w:bookmarkStart w:id="28" w:name="_Toc15377205"/>
      <w:r>
        <w:rPr>
          <w:rFonts w:hint="eastAsia" w:ascii="黑体" w:hAnsi="黑体" w:eastAsia="黑体"/>
          <w:sz w:val="32"/>
          <w:szCs w:val="32"/>
        </w:rPr>
        <w:t>收</w:t>
      </w:r>
      <w:r>
        <w:rPr>
          <w:rStyle w:val="28"/>
          <w:rFonts w:hint="eastAsia" w:ascii="黑体" w:hAnsi="黑体" w:eastAsia="黑体"/>
          <w:b w:val="0"/>
        </w:rPr>
        <w:t>入支出决算总体情况说明</w:t>
      </w:r>
      <w:bookmarkEnd w:id="26"/>
      <w:bookmarkEnd w:id="27"/>
      <w:bookmarkEnd w:id="28"/>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_GB2312" w:hAnsi="仿宋" w:eastAsia="仿宋_GB2312"/>
          <w:sz w:val="32"/>
          <w:szCs w:val="32"/>
        </w:rPr>
        <w:t>3</w:t>
      </w:r>
      <w:r>
        <w:rPr>
          <w:rFonts w:hint="eastAsia" w:ascii="仿宋_GB2312" w:hAnsi="仿宋_GB2312" w:eastAsia="仿宋_GB2312"/>
          <w:color w:val="000000"/>
          <w:sz w:val="32"/>
          <w:lang w:val="zh-CN"/>
        </w:rPr>
        <w:t>,</w:t>
      </w:r>
      <w:r>
        <w:rPr>
          <w:rFonts w:hint="eastAsia" w:ascii="仿宋_GB2312" w:hAnsi="仿宋" w:eastAsia="仿宋_GB2312"/>
          <w:sz w:val="32"/>
          <w:szCs w:val="32"/>
        </w:rPr>
        <w:t>271.37</w:t>
      </w:r>
      <w:r>
        <w:rPr>
          <w:rFonts w:hint="eastAsia" w:ascii="仿宋" w:hAnsi="仿宋" w:eastAsia="仿宋"/>
          <w:sz w:val="32"/>
          <w:szCs w:val="32"/>
        </w:rPr>
        <w:t>万元。与2021年相比，收入总计增加1</w:t>
      </w:r>
      <w:r>
        <w:rPr>
          <w:rFonts w:hint="eastAsia" w:ascii="仿宋_GB2312" w:hAnsi="仿宋_GB2312" w:eastAsia="仿宋_GB2312"/>
          <w:color w:val="000000"/>
          <w:sz w:val="32"/>
          <w:lang w:val="zh-CN"/>
        </w:rPr>
        <w:t>,</w:t>
      </w:r>
      <w:r>
        <w:rPr>
          <w:rFonts w:hint="eastAsia" w:ascii="仿宋" w:hAnsi="仿宋" w:eastAsia="仿宋"/>
          <w:sz w:val="32"/>
          <w:szCs w:val="32"/>
        </w:rPr>
        <w:t>731.65万元，增长112.47%；支出总计增加1</w:t>
      </w:r>
      <w:r>
        <w:rPr>
          <w:rFonts w:hint="eastAsia" w:ascii="仿宋_GB2312" w:hAnsi="仿宋_GB2312" w:eastAsia="仿宋_GB2312"/>
          <w:color w:val="000000"/>
          <w:sz w:val="32"/>
          <w:lang w:val="zh-CN"/>
        </w:rPr>
        <w:t>,</w:t>
      </w:r>
      <w:r>
        <w:rPr>
          <w:rFonts w:hint="eastAsia" w:ascii="仿宋" w:hAnsi="仿宋" w:eastAsia="仿宋"/>
          <w:sz w:val="32"/>
          <w:szCs w:val="32"/>
        </w:rPr>
        <w:t>731.65万元，增长112.47</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收到新校区建设PPP项目可行性缺口补助费用财政拨款2</w:t>
      </w:r>
      <w:r>
        <w:rPr>
          <w:rFonts w:hint="eastAsia" w:ascii="仿宋_GB2312" w:hAnsi="仿宋_GB2312" w:eastAsia="仿宋_GB2312"/>
          <w:color w:val="000000"/>
          <w:sz w:val="32"/>
          <w:lang w:val="zh-CN"/>
        </w:rPr>
        <w:t>,</w:t>
      </w:r>
      <w:r>
        <w:rPr>
          <w:rFonts w:ascii="仿宋_GB2312" w:hAnsi="仿宋" w:eastAsia="仿宋_GB2312"/>
          <w:sz w:val="32"/>
          <w:szCs w:val="32"/>
        </w:rPr>
        <w:t>000</w:t>
      </w:r>
      <w:r>
        <w:rPr>
          <w:rFonts w:hint="eastAsia" w:ascii="仿宋_GB2312" w:hAnsi="仿宋" w:eastAsia="仿宋_GB2312"/>
          <w:sz w:val="32"/>
          <w:szCs w:val="32"/>
        </w:rPr>
        <w:t>.00</w:t>
      </w:r>
      <w:r>
        <w:rPr>
          <w:rFonts w:ascii="仿宋_GB2312" w:hAnsi="仿宋" w:eastAsia="仿宋_GB2312"/>
          <w:sz w:val="32"/>
          <w:szCs w:val="32"/>
        </w:rPr>
        <w:t>万元</w:t>
      </w:r>
      <w:r>
        <w:rPr>
          <w:rFonts w:hint="eastAsia" w:ascii="仿宋" w:hAnsi="仿宋" w:eastAsia="仿宋"/>
          <w:sz w:val="32"/>
          <w:szCs w:val="32"/>
        </w:rPr>
        <w:t>。</w:t>
      </w:r>
    </w:p>
    <w:p>
      <w:pPr>
        <w:spacing w:line="600" w:lineRule="exact"/>
        <w:jc w:val="right"/>
        <w:rPr>
          <w:rFonts w:ascii="仿宋_GB2312" w:hAnsi="仿宋" w:eastAsia="仿宋_GB2312"/>
          <w:sz w:val="24"/>
          <w:szCs w:val="24"/>
        </w:rPr>
      </w:pPr>
      <w:r>
        <w:rPr>
          <w:rFonts w:hint="eastAsia" w:ascii="仿宋_GB2312" w:hAnsi="仿宋" w:eastAsia="仿宋_GB2312"/>
          <w:sz w:val="24"/>
          <w:szCs w:val="24"/>
        </w:rPr>
        <w:drawing>
          <wp:anchor distT="0" distB="0" distL="114300" distR="114300" simplePos="0" relativeHeight="251659264" behindDoc="0" locked="0" layoutInCell="1" allowOverlap="1">
            <wp:simplePos x="0" y="0"/>
            <wp:positionH relativeFrom="column">
              <wp:posOffset>148590</wp:posOffset>
            </wp:positionH>
            <wp:positionV relativeFrom="paragraph">
              <wp:posOffset>336550</wp:posOffset>
            </wp:positionV>
            <wp:extent cx="4981575" cy="3402330"/>
            <wp:effectExtent l="4445" t="4445" r="5080" b="22225"/>
            <wp:wrapNone/>
            <wp:docPr id="4"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 w:eastAsia="仿宋_GB2312"/>
          <w:sz w:val="24"/>
          <w:szCs w:val="24"/>
        </w:rPr>
        <w:t>单位：万元</w:t>
      </w:r>
    </w:p>
    <w:p>
      <w:pPr>
        <w:spacing w:line="600" w:lineRule="exact"/>
        <w:ind w:firstLine="640" w:firstLineChars="200"/>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pStyle w:val="5"/>
        <w:spacing w:before="93"/>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center"/>
        <w:rPr>
          <w:rFonts w:ascii="宋体" w:hAnsi="宋体" w:eastAsia="宋体" w:cs="宋体"/>
          <w:sz w:val="32"/>
          <w:szCs w:val="32"/>
        </w:rPr>
      </w:pPr>
      <w:r>
        <w:rPr>
          <w:rFonts w:ascii="宋体" w:hAnsi="宋体" w:eastAsia="宋体" w:cs="宋体"/>
          <w:sz w:val="32"/>
          <w:szCs w:val="32"/>
        </w:rPr>
        <w:t>（图1：收、支决算总计变动情况图）（柱状图）</w:t>
      </w:r>
    </w:p>
    <w:p>
      <w:pPr>
        <w:spacing w:line="600" w:lineRule="exact"/>
        <w:ind w:firstLine="640" w:firstLineChars="200"/>
        <w:jc w:val="center"/>
        <w:rPr>
          <w:rFonts w:hint="eastAsia" w:ascii="宋体" w:hAnsi="宋体" w:eastAsia="宋体" w:cs="宋体"/>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29" w:name="_Toc15377206"/>
      <w:bookmarkStart w:id="30" w:name="_Toc11686"/>
      <w:bookmarkStart w:id="31" w:name="_Toc15396604"/>
      <w:r>
        <w:rPr>
          <w:rFonts w:hint="eastAsia" w:ascii="黑体" w:hAnsi="黑体" w:eastAsia="黑体"/>
          <w:sz w:val="32"/>
          <w:szCs w:val="32"/>
        </w:rPr>
        <w:t>收</w:t>
      </w:r>
      <w:r>
        <w:rPr>
          <w:rStyle w:val="28"/>
          <w:rFonts w:hint="eastAsia" w:ascii="黑体" w:hAnsi="黑体" w:eastAsia="黑体"/>
          <w:b w:val="0"/>
        </w:rPr>
        <w:t>入决算情况说明</w:t>
      </w:r>
      <w:bookmarkEnd w:id="29"/>
      <w:bookmarkEnd w:id="30"/>
      <w:bookmarkEnd w:id="31"/>
    </w:p>
    <w:p>
      <w:pPr>
        <w:spacing w:line="600" w:lineRule="exact"/>
        <w:ind w:firstLine="640" w:firstLineChars="200"/>
        <w:outlineLvl w:val="1"/>
        <w:rPr>
          <w:rFonts w:ascii="仿宋" w:hAnsi="仿宋" w:eastAsia="仿宋"/>
          <w:sz w:val="32"/>
          <w:szCs w:val="32"/>
        </w:rPr>
      </w:pPr>
      <w:bookmarkStart w:id="115" w:name="_GoBack"/>
      <w:bookmarkEnd w:id="115"/>
      <w:bookmarkStart w:id="32" w:name="_Toc16502"/>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hAnsi="仿宋" w:eastAsia="仿宋_GB2312"/>
          <w:sz w:val="32"/>
          <w:szCs w:val="32"/>
        </w:rPr>
        <w:t>3</w:t>
      </w:r>
      <w:r>
        <w:rPr>
          <w:rFonts w:hint="eastAsia" w:ascii="仿宋_GB2312" w:hAnsi="仿宋_GB2312" w:eastAsia="仿宋_GB2312"/>
          <w:color w:val="000000"/>
          <w:sz w:val="32"/>
          <w:lang w:val="zh-CN"/>
        </w:rPr>
        <w:t>,</w:t>
      </w:r>
      <w:r>
        <w:rPr>
          <w:rFonts w:ascii="仿宋_GB2312" w:hAnsi="仿宋" w:eastAsia="仿宋_GB2312"/>
          <w:sz w:val="32"/>
          <w:szCs w:val="32"/>
        </w:rPr>
        <w:t>271.37</w:t>
      </w:r>
      <w:r>
        <w:rPr>
          <w:rFonts w:hint="eastAsia" w:ascii="仿宋" w:hAnsi="仿宋" w:eastAsia="仿宋"/>
          <w:sz w:val="32"/>
          <w:szCs w:val="32"/>
        </w:rPr>
        <w:t>万元，其中：一般公共预算财政拨款收入</w:t>
      </w:r>
      <w:r>
        <w:rPr>
          <w:rFonts w:hint="eastAsia" w:ascii="仿宋_GB2312" w:hAnsi="仿宋" w:eastAsia="仿宋_GB2312"/>
          <w:sz w:val="32"/>
          <w:szCs w:val="32"/>
        </w:rPr>
        <w:t>3</w:t>
      </w:r>
      <w:r>
        <w:rPr>
          <w:rFonts w:hint="eastAsia" w:ascii="仿宋_GB2312" w:hAnsi="仿宋_GB2312" w:eastAsia="仿宋_GB2312"/>
          <w:color w:val="000000"/>
          <w:sz w:val="32"/>
          <w:lang w:val="zh-CN"/>
        </w:rPr>
        <w:t>,</w:t>
      </w:r>
      <w:r>
        <w:rPr>
          <w:rFonts w:ascii="仿宋_GB2312" w:hAnsi="仿宋" w:eastAsia="仿宋_GB2312"/>
          <w:sz w:val="32"/>
          <w:szCs w:val="32"/>
        </w:rPr>
        <w:t>271.37</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2"/>
    </w:p>
    <w:p>
      <w:pPr>
        <w:pStyle w:val="5"/>
        <w:spacing w:before="93"/>
        <w:rPr>
          <w:rFonts w:ascii="仿宋" w:hAnsi="仿宋" w:eastAsia="仿宋"/>
          <w:sz w:val="32"/>
          <w:szCs w:val="32"/>
        </w:rPr>
      </w:pPr>
      <w:r>
        <w:rPr>
          <w:rFonts w:hint="eastAsia" w:ascii="仿宋" w:hAnsi="仿宋" w:eastAsia="仿宋"/>
          <w:sz w:val="32"/>
          <w:szCs w:val="32"/>
        </w:rPr>
        <w:drawing>
          <wp:inline distT="0" distB="0" distL="114300" distR="114300">
            <wp:extent cx="5256530" cy="2988310"/>
            <wp:effectExtent l="5080" t="4445" r="15240" b="55245"/>
            <wp:docPr id="1" name="图表 1" descr="7b0a202020202263686172745265734964223a202232303437313338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33" w:name="_Toc15377207"/>
      <w:bookmarkStart w:id="34" w:name="_Toc15396605"/>
      <w:bookmarkStart w:id="35" w:name="_Toc2340"/>
      <w:r>
        <w:rPr>
          <w:rFonts w:hint="eastAsia" w:ascii="黑体" w:hAnsi="黑体" w:eastAsia="黑体"/>
          <w:sz w:val="32"/>
          <w:szCs w:val="32"/>
        </w:rPr>
        <w:t>支</w:t>
      </w:r>
      <w:r>
        <w:rPr>
          <w:rStyle w:val="28"/>
          <w:rFonts w:hint="eastAsia" w:ascii="黑体" w:hAnsi="黑体" w:eastAsia="黑体"/>
          <w:b w:val="0"/>
        </w:rPr>
        <w:t>出决算情况说明</w:t>
      </w:r>
      <w:bookmarkEnd w:id="33"/>
      <w:bookmarkEnd w:id="34"/>
      <w:bookmarkEnd w:id="35"/>
    </w:p>
    <w:p>
      <w:pPr>
        <w:spacing w:line="600" w:lineRule="exact"/>
        <w:ind w:firstLine="640" w:firstLineChars="200"/>
        <w:outlineLvl w:val="1"/>
        <w:rPr>
          <w:rFonts w:ascii="仿宋" w:hAnsi="仿宋" w:eastAsia="仿宋"/>
          <w:sz w:val="32"/>
          <w:szCs w:val="32"/>
        </w:rPr>
      </w:pPr>
      <w:bookmarkStart w:id="36" w:name="_Toc18200"/>
      <w:r>
        <w:rPr>
          <w:rFonts w:ascii="仿宋" w:hAnsi="仿宋" w:eastAsia="仿宋"/>
          <w:sz w:val="32"/>
          <w:szCs w:val="32"/>
        </w:rPr>
        <w:t>20</w:t>
      </w:r>
      <w:r>
        <w:rPr>
          <w:rFonts w:hint="eastAsia" w:ascii="仿宋" w:hAnsi="仿宋" w:eastAsia="仿宋"/>
          <w:sz w:val="32"/>
          <w:szCs w:val="32"/>
        </w:rPr>
        <w:t>22年本年支出合计</w:t>
      </w:r>
      <w:r>
        <w:rPr>
          <w:rFonts w:hint="eastAsia" w:ascii="仿宋_GB2312" w:hAnsi="仿宋_GB2312" w:eastAsia="仿宋_GB2312"/>
          <w:color w:val="000000"/>
          <w:sz w:val="32"/>
          <w:lang w:val="zh-CN"/>
        </w:rPr>
        <w:t>3,271.37</w:t>
      </w:r>
      <w:r>
        <w:rPr>
          <w:rFonts w:hint="eastAsia" w:ascii="仿宋" w:hAnsi="仿宋" w:eastAsia="仿宋"/>
          <w:sz w:val="32"/>
          <w:szCs w:val="32"/>
        </w:rPr>
        <w:t>万元，其中：基本支出</w:t>
      </w:r>
      <w:r>
        <w:rPr>
          <w:rFonts w:hint="eastAsia" w:ascii="仿宋_GB2312" w:hAnsi="仿宋_GB2312" w:eastAsia="仿宋_GB2312"/>
          <w:color w:val="000000"/>
          <w:sz w:val="32"/>
          <w:lang w:val="zh-CN"/>
        </w:rPr>
        <w:t>1,271.37</w:t>
      </w:r>
      <w:r>
        <w:rPr>
          <w:rFonts w:hint="eastAsia" w:ascii="仿宋" w:hAnsi="仿宋" w:eastAsia="仿宋"/>
          <w:sz w:val="32"/>
          <w:szCs w:val="32"/>
        </w:rPr>
        <w:t>万元，占</w:t>
      </w:r>
      <w:r>
        <w:rPr>
          <w:rFonts w:hint="eastAsia" w:ascii="仿宋_GB2312" w:hAnsi="仿宋_GB2312" w:eastAsia="仿宋_GB2312"/>
          <w:color w:val="000000"/>
          <w:sz w:val="32"/>
          <w:lang w:val="zh-CN"/>
        </w:rPr>
        <w:t>38.</w:t>
      </w:r>
      <w:r>
        <w:rPr>
          <w:rFonts w:hint="eastAsia" w:ascii="仿宋_GB2312" w:hAnsi="仿宋_GB2312" w:eastAsia="仿宋_GB2312"/>
          <w:color w:val="000000"/>
          <w:sz w:val="32"/>
        </w:rPr>
        <w:t>86</w:t>
      </w:r>
      <w:r>
        <w:rPr>
          <w:rFonts w:ascii="仿宋" w:hAnsi="仿宋" w:eastAsia="仿宋"/>
          <w:sz w:val="32"/>
          <w:szCs w:val="32"/>
        </w:rPr>
        <w:t>%</w:t>
      </w:r>
      <w:r>
        <w:rPr>
          <w:rFonts w:hint="eastAsia" w:ascii="仿宋" w:hAnsi="仿宋" w:eastAsia="仿宋"/>
          <w:sz w:val="32"/>
          <w:szCs w:val="32"/>
        </w:rPr>
        <w:t>；项目支出</w:t>
      </w:r>
      <w:r>
        <w:rPr>
          <w:rFonts w:hint="eastAsia" w:ascii="仿宋_GB2312" w:hAnsi="仿宋_GB2312" w:eastAsia="仿宋_GB2312"/>
          <w:color w:val="000000"/>
          <w:sz w:val="32"/>
          <w:lang w:val="zh-CN"/>
        </w:rPr>
        <w:t>2,000</w:t>
      </w:r>
      <w:r>
        <w:rPr>
          <w:rFonts w:hint="eastAsia" w:ascii="仿宋_GB2312" w:hAnsi="仿宋_GB2312" w:eastAsia="仿宋_GB2312"/>
          <w:color w:val="000000"/>
          <w:sz w:val="32"/>
        </w:rPr>
        <w:t>.00</w:t>
      </w:r>
      <w:r>
        <w:rPr>
          <w:rFonts w:hint="eastAsia" w:ascii="仿宋" w:hAnsi="仿宋" w:eastAsia="仿宋"/>
          <w:sz w:val="32"/>
          <w:szCs w:val="32"/>
        </w:rPr>
        <w:t>万元，占</w:t>
      </w:r>
      <w:r>
        <w:rPr>
          <w:rFonts w:hint="eastAsia" w:ascii="仿宋_GB2312" w:hAnsi="仿宋_GB2312" w:eastAsia="仿宋_GB2312"/>
          <w:color w:val="000000"/>
          <w:sz w:val="32"/>
          <w:lang w:val="zh-CN"/>
        </w:rPr>
        <w:t>61.</w:t>
      </w:r>
      <w:r>
        <w:rPr>
          <w:rFonts w:hint="eastAsia" w:ascii="仿宋_GB2312" w:hAnsi="仿宋_GB2312" w:eastAsia="仿宋_GB2312"/>
          <w:color w:val="000000"/>
          <w:sz w:val="32"/>
        </w:rPr>
        <w:t>14</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36"/>
    </w:p>
    <w:p>
      <w:pPr>
        <w:pStyle w:val="5"/>
        <w:spacing w:before="93"/>
        <w:rPr>
          <w:rFonts w:ascii="仿宋" w:hAnsi="仿宋" w:eastAsia="仿宋"/>
          <w:sz w:val="32"/>
          <w:szCs w:val="32"/>
        </w:rPr>
      </w:pPr>
      <w:r>
        <w:rPr>
          <w:rFonts w:hint="eastAsia" w:ascii="仿宋" w:hAnsi="仿宋" w:eastAsia="仿宋"/>
          <w:sz w:val="32"/>
          <w:szCs w:val="32"/>
        </w:rPr>
        <w:drawing>
          <wp:inline distT="0" distB="0" distL="114300" distR="114300">
            <wp:extent cx="5256530" cy="2988310"/>
            <wp:effectExtent l="5080" t="4445" r="15240" b="55245"/>
            <wp:docPr id="3" name="图表 3" descr="7b0a202020202263686172745265734964223a202232303437353935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center"/>
        <w:rPr>
          <w:rFonts w:hint="eastAsia" w:ascii="仿宋" w:hAnsi="仿宋" w:eastAsia="仿宋"/>
          <w:sz w:val="32"/>
          <w:szCs w:val="32"/>
        </w:rPr>
      </w:pPr>
      <w:bookmarkStart w:id="37" w:name="_Toc12085"/>
      <w:r>
        <w:rPr>
          <w:rFonts w:hint="eastAsia" w:ascii="仿宋" w:hAnsi="仿宋" w:eastAsia="仿宋"/>
          <w:sz w:val="32"/>
          <w:szCs w:val="32"/>
        </w:rPr>
        <w:t>（图3：支出决算结构图）（饼状图）</w:t>
      </w:r>
    </w:p>
    <w:p>
      <w:pPr>
        <w:spacing w:line="600" w:lineRule="exact"/>
        <w:ind w:firstLine="640" w:firstLineChars="200"/>
        <w:jc w:val="center"/>
        <w:rPr>
          <w:rFonts w:hint="eastAsia" w:ascii="仿宋" w:hAnsi="仿宋" w:eastAsia="仿宋"/>
          <w:sz w:val="32"/>
          <w:szCs w:val="32"/>
        </w:rPr>
      </w:pPr>
    </w:p>
    <w:bookmarkEnd w:id="37"/>
    <w:p>
      <w:pPr>
        <w:spacing w:line="600" w:lineRule="exact"/>
        <w:ind w:firstLine="640" w:firstLineChars="200"/>
        <w:outlineLvl w:val="1"/>
        <w:rPr>
          <w:rStyle w:val="28"/>
          <w:rFonts w:ascii="黑体" w:hAnsi="黑体" w:eastAsia="黑体"/>
          <w:b w:val="0"/>
        </w:rPr>
      </w:pPr>
      <w:bookmarkStart w:id="38" w:name="_Toc18215"/>
      <w:bookmarkStart w:id="39" w:name="_Toc15396606"/>
      <w:bookmarkStart w:id="40" w:name="_Toc15377208"/>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8"/>
      <w:bookmarkEnd w:id="39"/>
      <w:bookmarkEnd w:id="40"/>
    </w:p>
    <w:p>
      <w:pPr>
        <w:spacing w:line="576" w:lineRule="exact"/>
        <w:ind w:firstLine="640"/>
        <w:rPr>
          <w:rFonts w:hint="eastAsia" w:ascii="仿宋_GB2312" w:hAnsi="仿宋_GB2312" w:eastAsia="仿宋_GB2312"/>
          <w:color w:val="000000"/>
          <w:sz w:val="32"/>
          <w:lang w:val="zh-CN"/>
        </w:rPr>
      </w:pPr>
      <w:r>
        <w:rPr>
          <w:rFonts w:hint="eastAsia" w:ascii="仿宋_GB2312" w:hAnsi="仿宋_GB2312" w:eastAsia="仿宋_GB2312"/>
          <w:color w:val="000000"/>
          <w:sz w:val="32"/>
          <w:lang w:val="zh-CN"/>
        </w:rPr>
        <w:t>2022年财政拨款收、支总计3,271.37万元。与2021年相比，财政拨款收入增加1,731.65万元，增长112.</w:t>
      </w:r>
      <w:r>
        <w:rPr>
          <w:rFonts w:hint="eastAsia" w:ascii="仿宋_GB2312" w:hAnsi="仿宋_GB2312" w:eastAsia="仿宋_GB2312"/>
          <w:color w:val="000000"/>
          <w:sz w:val="32"/>
        </w:rPr>
        <w:t>47</w:t>
      </w:r>
      <w:r>
        <w:rPr>
          <w:rFonts w:hint="eastAsia" w:ascii="仿宋_GB2312" w:hAnsi="仿宋_GB2312" w:eastAsia="仿宋_GB2312"/>
          <w:color w:val="000000"/>
          <w:sz w:val="32"/>
          <w:lang w:val="zh-CN"/>
        </w:rPr>
        <w:t>%，支出增加1,731.65万元，增长112.</w:t>
      </w:r>
      <w:r>
        <w:rPr>
          <w:rFonts w:hint="eastAsia" w:ascii="仿宋_GB2312" w:hAnsi="仿宋_GB2312" w:eastAsia="仿宋_GB2312"/>
          <w:color w:val="000000"/>
          <w:sz w:val="32"/>
        </w:rPr>
        <w:t>47</w:t>
      </w:r>
      <w:r>
        <w:rPr>
          <w:rFonts w:hint="eastAsia" w:ascii="仿宋_GB2312" w:hAnsi="仿宋_GB2312" w:eastAsia="仿宋_GB2312"/>
          <w:color w:val="000000"/>
          <w:sz w:val="32"/>
          <w:lang w:val="zh-CN"/>
        </w:rPr>
        <w:t>%。主要变动原因是</w:t>
      </w:r>
      <w:r>
        <w:rPr>
          <w:rFonts w:hint="eastAsia" w:ascii="仿宋_GB2312" w:hAnsi="仿宋" w:eastAsia="仿宋_GB2312"/>
          <w:sz w:val="32"/>
          <w:szCs w:val="32"/>
        </w:rPr>
        <w:t>收到新校区建设PPP项目可行性缺口补助费用财政拨款2</w:t>
      </w:r>
      <w:r>
        <w:rPr>
          <w:rFonts w:hint="eastAsia" w:ascii="仿宋_GB2312" w:hAnsi="仿宋_GB2312" w:eastAsia="仿宋_GB2312"/>
          <w:color w:val="000000"/>
          <w:sz w:val="32"/>
          <w:lang w:val="zh-CN"/>
        </w:rPr>
        <w:t>,</w:t>
      </w:r>
      <w:r>
        <w:rPr>
          <w:rFonts w:ascii="仿宋_GB2312" w:hAnsi="仿宋" w:eastAsia="仿宋_GB2312"/>
          <w:sz w:val="32"/>
          <w:szCs w:val="32"/>
        </w:rPr>
        <w:t>000</w:t>
      </w:r>
      <w:r>
        <w:rPr>
          <w:rFonts w:hint="eastAsia" w:ascii="仿宋_GB2312" w:hAnsi="仿宋" w:eastAsia="仿宋_GB2312"/>
          <w:sz w:val="32"/>
          <w:szCs w:val="32"/>
        </w:rPr>
        <w:t>.00</w:t>
      </w:r>
      <w:r>
        <w:rPr>
          <w:rFonts w:ascii="仿宋_GB2312" w:hAnsi="仿宋" w:eastAsia="仿宋_GB2312"/>
          <w:sz w:val="32"/>
          <w:szCs w:val="32"/>
        </w:rPr>
        <w:t>万元</w:t>
      </w:r>
      <w:r>
        <w:rPr>
          <w:rFonts w:hint="eastAsia" w:ascii="仿宋_GB2312" w:hAnsi="仿宋_GB2312" w:eastAsia="仿宋_GB2312"/>
          <w:color w:val="000000"/>
          <w:sz w:val="32"/>
          <w:lang w:val="zh-CN"/>
        </w:rPr>
        <w:t>。</w:t>
      </w:r>
    </w:p>
    <w:p>
      <w:pPr>
        <w:spacing w:line="576" w:lineRule="exact"/>
        <w:ind w:firstLine="640"/>
        <w:rPr>
          <w:rFonts w:hint="eastAsia" w:ascii="仿宋_GB2312" w:hAnsi="仿宋_GB2312" w:eastAsia="仿宋_GB2312"/>
          <w:color w:val="000000"/>
          <w:sz w:val="32"/>
          <w:lang w:val="zh-CN"/>
        </w:rPr>
      </w:pPr>
    </w:p>
    <w:p>
      <w:pPr>
        <w:spacing w:line="576" w:lineRule="exact"/>
        <w:ind w:firstLine="640"/>
        <w:rPr>
          <w:rFonts w:hint="eastAsia" w:ascii="仿宋_GB2312" w:hAnsi="仿宋_GB2312" w:eastAsia="仿宋_GB2312"/>
          <w:color w:val="000000"/>
          <w:sz w:val="32"/>
          <w:lang w:val="zh-CN"/>
        </w:rPr>
      </w:pPr>
    </w:p>
    <w:p>
      <w:pPr>
        <w:spacing w:line="576" w:lineRule="exact"/>
        <w:ind w:firstLine="640"/>
        <w:rPr>
          <w:rFonts w:hint="eastAsia" w:ascii="仿宋_GB2312" w:hAnsi="仿宋_GB2312" w:eastAsia="仿宋_GB2312"/>
          <w:color w:val="000000"/>
          <w:sz w:val="32"/>
          <w:lang w:val="zh-CN"/>
        </w:rPr>
      </w:pPr>
    </w:p>
    <w:p>
      <w:pPr>
        <w:spacing w:line="576" w:lineRule="exact"/>
        <w:ind w:firstLine="640"/>
        <w:rPr>
          <w:rFonts w:hint="eastAsia"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rPr>
          <w:rFonts w:ascii="仿宋_GB2312" w:hAnsi="仿宋_GB2312" w:eastAsia="仿宋_GB2312"/>
          <w:color w:val="000000"/>
          <w:sz w:val="32"/>
          <w:lang w:val="zh-CN"/>
        </w:rPr>
      </w:pPr>
    </w:p>
    <w:p>
      <w:pPr>
        <w:spacing w:line="576" w:lineRule="exact"/>
        <w:rPr>
          <w:rFonts w:ascii="仿宋_GB2312" w:hAnsi="仿宋_GB2312" w:eastAsia="仿宋_GB2312"/>
          <w:color w:val="000000"/>
          <w:sz w:val="32"/>
          <w:lang w:val="zh-CN"/>
        </w:rPr>
      </w:pPr>
    </w:p>
    <w:p>
      <w:pPr>
        <w:spacing w:line="576" w:lineRule="exact"/>
        <w:jc w:val="right"/>
        <w:rPr>
          <w:rFonts w:ascii="仿宋_GB2312" w:hAnsi="仿宋_GB2312" w:eastAsia="仿宋_GB2312"/>
          <w:color w:val="000000"/>
          <w:sz w:val="24"/>
          <w:szCs w:val="24"/>
          <w:lang w:val="zh-CN"/>
        </w:rPr>
      </w:pPr>
      <w:r>
        <w:rPr>
          <w:rFonts w:hint="eastAsia" w:ascii="仿宋_GB2312" w:hAnsi="仿宋_GB2312" w:eastAsia="仿宋_GB2312"/>
          <w:color w:val="000000"/>
          <w:sz w:val="24"/>
          <w:szCs w:val="24"/>
          <w:lang w:val="zh-CN"/>
        </w:rPr>
        <w:t>单位：万元</w:t>
      </w:r>
    </w:p>
    <w:p>
      <w:pPr>
        <w:spacing w:line="576" w:lineRule="exact"/>
        <w:ind w:firstLine="640"/>
        <w:rPr>
          <w:rFonts w:ascii="仿宋_GB2312" w:hAnsi="仿宋_GB2312" w:eastAsia="仿宋_GB2312"/>
          <w:color w:val="000000"/>
          <w:sz w:val="32"/>
          <w:lang w:val="zh-CN"/>
        </w:rPr>
      </w:pPr>
      <w:r>
        <w:rPr>
          <w:sz w:val="24"/>
          <w:szCs w:val="24"/>
        </w:rPr>
        <w:drawing>
          <wp:anchor distT="0" distB="0" distL="114300" distR="114300" simplePos="0" relativeHeight="251660288" behindDoc="0" locked="0" layoutInCell="1" allowOverlap="1">
            <wp:simplePos x="0" y="0"/>
            <wp:positionH relativeFrom="column">
              <wp:posOffset>210820</wp:posOffset>
            </wp:positionH>
            <wp:positionV relativeFrom="paragraph">
              <wp:posOffset>17780</wp:posOffset>
            </wp:positionV>
            <wp:extent cx="4981575" cy="2677795"/>
            <wp:effectExtent l="4445" t="4445" r="5080" b="22860"/>
            <wp:wrapNone/>
            <wp:docPr id="5"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rPr>
          <w:rFonts w:hint="eastAsia" w:ascii="仿宋" w:hAnsi="仿宋" w:eastAsia="仿宋"/>
          <w:sz w:val="32"/>
          <w:szCs w:val="32"/>
        </w:rPr>
      </w:pPr>
    </w:p>
    <w:p>
      <w:pPr>
        <w:spacing w:line="600" w:lineRule="exact"/>
        <w:ind w:firstLine="640" w:firstLineChars="200"/>
        <w:outlineLvl w:val="1"/>
        <w:rPr>
          <w:rStyle w:val="28"/>
          <w:rFonts w:ascii="黑体" w:hAnsi="黑体" w:eastAsia="黑体"/>
          <w:b w:val="0"/>
        </w:rPr>
      </w:pPr>
      <w:bookmarkStart w:id="41" w:name="_Toc11239"/>
      <w:bookmarkStart w:id="42" w:name="_Toc15396607"/>
      <w:bookmarkStart w:id="43"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41"/>
      <w:bookmarkEnd w:id="42"/>
      <w:bookmarkEnd w:id="43"/>
    </w:p>
    <w:p>
      <w:pPr>
        <w:spacing w:line="600" w:lineRule="exact"/>
        <w:ind w:firstLine="643" w:firstLineChars="200"/>
        <w:outlineLvl w:val="2"/>
        <w:rPr>
          <w:rFonts w:ascii="仿宋" w:hAnsi="仿宋" w:eastAsia="仿宋"/>
          <w:b/>
          <w:sz w:val="32"/>
          <w:szCs w:val="32"/>
        </w:rPr>
      </w:pPr>
      <w:bookmarkStart w:id="44" w:name="_Toc15377210"/>
      <w:bookmarkStart w:id="45" w:name="_Toc24467"/>
      <w:r>
        <w:rPr>
          <w:rFonts w:hint="eastAsia" w:ascii="仿宋" w:hAnsi="仿宋" w:eastAsia="仿宋"/>
          <w:b/>
          <w:sz w:val="32"/>
          <w:szCs w:val="32"/>
        </w:rPr>
        <w:t>（一）一般公共预算财政拨款支出决算总体情况</w:t>
      </w:r>
      <w:bookmarkEnd w:id="44"/>
      <w:bookmarkEnd w:id="45"/>
    </w:p>
    <w:p>
      <w:pPr>
        <w:spacing w:line="576" w:lineRule="exact"/>
        <w:ind w:firstLine="640"/>
        <w:rPr>
          <w:rFonts w:hint="eastAsia" w:ascii="仿宋_GB2312" w:hAnsi="仿宋_GB2312" w:eastAsia="仿宋_GB2312"/>
          <w:color w:val="000000"/>
          <w:sz w:val="32"/>
          <w:lang w:val="zh-CN"/>
        </w:rPr>
      </w:pPr>
      <w:r>
        <w:rPr>
          <w:rFonts w:hint="eastAsia" w:ascii="仿宋_GB2312" w:hAnsi="仿宋_GB2312" w:eastAsia="仿宋_GB2312"/>
          <w:color w:val="000000"/>
          <w:sz w:val="32"/>
          <w:lang w:val="zh-CN"/>
        </w:rPr>
        <w:t>2022年一般公共预算财政拨款支出3,271.37万元，占本年支出合计的100%。与2021年相比，一般公共预算财政拨款支出增加1,731.65万元，增长112.</w:t>
      </w:r>
      <w:r>
        <w:rPr>
          <w:rFonts w:hint="eastAsia" w:ascii="仿宋_GB2312" w:hAnsi="仿宋_GB2312" w:eastAsia="仿宋_GB2312"/>
          <w:color w:val="000000"/>
          <w:sz w:val="32"/>
        </w:rPr>
        <w:t>47</w:t>
      </w:r>
      <w:r>
        <w:rPr>
          <w:rFonts w:hint="eastAsia" w:ascii="仿宋_GB2312" w:hAnsi="仿宋_GB2312" w:eastAsia="仿宋_GB2312"/>
          <w:color w:val="000000"/>
          <w:sz w:val="32"/>
          <w:lang w:val="zh-CN"/>
        </w:rPr>
        <w:t>%。主要变动原因是</w:t>
      </w:r>
      <w:r>
        <w:rPr>
          <w:rFonts w:hint="eastAsia" w:ascii="仿宋_GB2312" w:hAnsi="仿宋" w:eastAsia="仿宋_GB2312"/>
          <w:sz w:val="32"/>
          <w:szCs w:val="32"/>
        </w:rPr>
        <w:t>收到新校区建设PPP项目可行性缺口补助费用财政拨款2,</w:t>
      </w:r>
      <w:r>
        <w:rPr>
          <w:rFonts w:ascii="仿宋_GB2312" w:hAnsi="仿宋" w:eastAsia="仿宋_GB2312"/>
          <w:sz w:val="32"/>
          <w:szCs w:val="32"/>
        </w:rPr>
        <w:t>000</w:t>
      </w:r>
      <w:r>
        <w:rPr>
          <w:rFonts w:hint="eastAsia" w:ascii="仿宋_GB2312" w:hAnsi="仿宋" w:eastAsia="仿宋_GB2312"/>
          <w:sz w:val="32"/>
          <w:szCs w:val="32"/>
        </w:rPr>
        <w:t>.00</w:t>
      </w:r>
      <w:r>
        <w:rPr>
          <w:rFonts w:ascii="仿宋_GB2312" w:hAnsi="仿宋" w:eastAsia="仿宋_GB2312"/>
          <w:sz w:val="32"/>
          <w:szCs w:val="32"/>
        </w:rPr>
        <w:t>万元</w:t>
      </w:r>
      <w:r>
        <w:rPr>
          <w:rFonts w:hint="eastAsia" w:ascii="仿宋_GB2312" w:hAnsi="仿宋_GB2312" w:eastAsia="仿宋_GB2312"/>
          <w:color w:val="000000"/>
          <w:sz w:val="32"/>
          <w:lang w:val="zh-CN"/>
        </w:rPr>
        <w:t>。</w:t>
      </w:r>
    </w:p>
    <w:p>
      <w:pPr>
        <w:spacing w:line="576" w:lineRule="exact"/>
        <w:ind w:firstLine="640"/>
        <w:rPr>
          <w:rFonts w:hint="eastAsia" w:ascii="仿宋_GB2312" w:hAnsi="仿宋_GB2312" w:eastAsia="仿宋_GB2312"/>
          <w:color w:val="000000"/>
          <w:sz w:val="32"/>
          <w:lang w:val="zh-CN"/>
        </w:rPr>
      </w:pPr>
    </w:p>
    <w:p>
      <w:pPr>
        <w:spacing w:line="576" w:lineRule="exact"/>
        <w:ind w:firstLine="640"/>
        <w:rPr>
          <w:rFonts w:hint="eastAsia"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jc w:val="right"/>
        <w:rPr>
          <w:rFonts w:ascii="仿宋_GB2312" w:hAnsi="仿宋_GB2312" w:eastAsia="仿宋_GB2312"/>
          <w:color w:val="000000"/>
          <w:sz w:val="24"/>
          <w:szCs w:val="24"/>
          <w:lang w:val="zh-CN"/>
        </w:rPr>
      </w:pPr>
      <w:r>
        <w:rPr>
          <w:rFonts w:hint="eastAsia" w:ascii="仿宋_GB2312" w:hAnsi="仿宋_GB2312" w:eastAsia="仿宋_GB2312"/>
          <w:color w:val="000000"/>
          <w:sz w:val="24"/>
          <w:szCs w:val="24"/>
          <w:lang w:val="zh-CN"/>
        </w:rPr>
        <w:t>单位：万元</w:t>
      </w:r>
    </w:p>
    <w:p>
      <w:pPr>
        <w:spacing w:line="576" w:lineRule="exact"/>
        <w:ind w:left="6703" w:leftChars="3192" w:firstLine="2104" w:firstLineChars="1002"/>
        <w:rPr>
          <w:rFonts w:ascii="仿宋_GB2312" w:hAnsi="仿宋_GB2312" w:eastAsia="仿宋_GB2312"/>
          <w:color w:val="000000"/>
          <w:sz w:val="32"/>
          <w:lang w:val="zh-CN"/>
        </w:rPr>
      </w:pPr>
      <w:r>
        <w:drawing>
          <wp:anchor distT="0" distB="0" distL="114300" distR="114300" simplePos="0" relativeHeight="251662336" behindDoc="0" locked="0" layoutInCell="1" allowOverlap="1">
            <wp:simplePos x="0" y="0"/>
            <wp:positionH relativeFrom="column">
              <wp:posOffset>179070</wp:posOffset>
            </wp:positionH>
            <wp:positionV relativeFrom="paragraph">
              <wp:posOffset>14605</wp:posOffset>
            </wp:positionV>
            <wp:extent cx="4981575" cy="2972435"/>
            <wp:effectExtent l="4445" t="4445" r="5080" b="13970"/>
            <wp:wrapNone/>
            <wp:docPr id="2"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drawing>
          <wp:anchor distT="0" distB="0" distL="114300" distR="114300" simplePos="0" relativeHeight="251661312" behindDoc="0" locked="0" layoutInCell="1" allowOverlap="1">
            <wp:simplePos x="0" y="0"/>
            <wp:positionH relativeFrom="column">
              <wp:posOffset>179705</wp:posOffset>
            </wp:positionH>
            <wp:positionV relativeFrom="paragraph">
              <wp:posOffset>242570</wp:posOffset>
            </wp:positionV>
            <wp:extent cx="4981575" cy="2747010"/>
            <wp:effectExtent l="4445" t="4445" r="5080" b="10795"/>
            <wp:wrapNone/>
            <wp:docPr id="6"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576" w:lineRule="exact"/>
        <w:ind w:firstLine="640"/>
        <w:rPr>
          <w:rFonts w:ascii="仿宋_GB2312" w:hAnsi="仿宋_GB2312" w:eastAsia="仿宋_GB2312"/>
          <w:color w:val="000000"/>
          <w:sz w:val="32"/>
          <w:lang w:val="zh-CN"/>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rPr>
          <w:rFonts w:ascii="仿宋_GB2312" w:hAnsi="仿宋_GB2312" w:eastAsia="仿宋_GB2312"/>
          <w:b/>
          <w:bCs/>
          <w:iCs/>
          <w:color w:val="000000"/>
          <w:sz w:val="32"/>
          <w:szCs w:val="32"/>
          <w:highlight w:val="yellow"/>
        </w:rPr>
      </w:pPr>
    </w:p>
    <w:p>
      <w:pPr>
        <w:numPr>
          <w:ilvl w:val="0"/>
          <w:numId w:val="2"/>
        </w:numPr>
        <w:spacing w:line="600" w:lineRule="exact"/>
        <w:ind w:firstLine="643" w:firstLineChars="200"/>
        <w:outlineLvl w:val="2"/>
        <w:rPr>
          <w:rFonts w:hint="eastAsia" w:ascii="仿宋" w:hAnsi="仿宋" w:eastAsia="仿宋"/>
          <w:b/>
          <w:sz w:val="32"/>
          <w:szCs w:val="32"/>
        </w:rPr>
      </w:pPr>
      <w:bookmarkStart w:id="46" w:name="_Toc10165"/>
      <w:bookmarkStart w:id="47" w:name="_Toc15377211"/>
      <w:r>
        <w:rPr>
          <w:rFonts w:hint="eastAsia" w:ascii="仿宋" w:hAnsi="仿宋" w:eastAsia="仿宋"/>
          <w:b/>
          <w:sz w:val="32"/>
          <w:szCs w:val="32"/>
        </w:rPr>
        <w:t>一般公共预算财政拨款支出决算结构情况</w:t>
      </w:r>
      <w:bookmarkEnd w:id="46"/>
      <w:bookmarkEnd w:id="47"/>
    </w:p>
    <w:p>
      <w:pPr>
        <w:numPr>
          <w:ilvl w:val="0"/>
          <w:numId w:val="0"/>
        </w:numPr>
        <w:spacing w:line="600" w:lineRule="exact"/>
        <w:ind w:firstLine="640" w:firstLineChars="200"/>
        <w:outlineLvl w:val="2"/>
        <w:rPr>
          <w:rFonts w:hint="eastAsia" w:ascii="仿宋_GB2312" w:hAnsi="仿宋_GB2312" w:eastAsia="仿宋_GB2312"/>
          <w:color w:val="000000"/>
          <w:sz w:val="32"/>
          <w:lang w:val="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_GB2312" w:eastAsia="仿宋_GB2312"/>
          <w:color w:val="000000"/>
          <w:sz w:val="32"/>
          <w:lang w:val="zh-CN"/>
        </w:rPr>
        <w:t>3,271.37</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_GB2312" w:hAnsi="仿宋_GB2312" w:eastAsia="仿宋_GB2312"/>
          <w:color w:val="000000"/>
          <w:sz w:val="32"/>
          <w:lang w:val="zh-CN"/>
        </w:rPr>
        <w:t>一般公共服务支出0万元，占0%；外交支出0万元，占0%；国防支出0万元，占0%；公共安全支出0万元，占0%；</w:t>
      </w:r>
      <w:r>
        <w:rPr>
          <w:rFonts w:hint="eastAsia" w:ascii="仿宋" w:hAnsi="仿宋" w:eastAsia="仿宋"/>
          <w:b/>
          <w:sz w:val="32"/>
          <w:szCs w:val="32"/>
        </w:rPr>
        <w:t>教育支出</w:t>
      </w:r>
      <w:r>
        <w:rPr>
          <w:rFonts w:hint="eastAsia" w:ascii="仿宋" w:hAnsi="仿宋" w:eastAsia="仿宋"/>
          <w:b/>
          <w:sz w:val="32"/>
          <w:szCs w:val="32"/>
          <w:lang w:val="zh-CN"/>
        </w:rPr>
        <w:t>1,051.05</w:t>
      </w:r>
      <w:r>
        <w:rPr>
          <w:rFonts w:hint="eastAsia" w:ascii="仿宋" w:hAnsi="仿宋" w:eastAsia="仿宋"/>
          <w:b/>
          <w:sz w:val="32"/>
          <w:szCs w:val="32"/>
        </w:rPr>
        <w:t>万元</w:t>
      </w:r>
      <w:r>
        <w:rPr>
          <w:rFonts w:hint="eastAsia" w:ascii="仿宋" w:hAnsi="仿宋" w:eastAsia="仿宋"/>
          <w:sz w:val="32"/>
          <w:szCs w:val="32"/>
        </w:rPr>
        <w:t>，</w:t>
      </w:r>
      <w:r>
        <w:rPr>
          <w:rFonts w:hint="eastAsia" w:ascii="仿宋" w:hAnsi="仿宋" w:eastAsia="仿宋"/>
          <w:b/>
          <w:bCs/>
          <w:sz w:val="32"/>
          <w:szCs w:val="32"/>
        </w:rPr>
        <w:t>占32.13</w:t>
      </w:r>
      <w:r>
        <w:rPr>
          <w:rFonts w:ascii="仿宋" w:hAnsi="仿宋" w:eastAsia="仿宋"/>
          <w:b/>
          <w:bCs/>
          <w:sz w:val="32"/>
          <w:szCs w:val="32"/>
        </w:rPr>
        <w:t>%</w:t>
      </w:r>
      <w:r>
        <w:rPr>
          <w:rFonts w:hint="eastAsia" w:ascii="仿宋" w:hAnsi="仿宋" w:eastAsia="仿宋"/>
          <w:sz w:val="32"/>
          <w:szCs w:val="32"/>
        </w:rPr>
        <w:t>；</w:t>
      </w:r>
      <w:r>
        <w:rPr>
          <w:rFonts w:hint="eastAsia" w:ascii="仿宋_GB2312" w:hAnsi="仿宋_GB2312" w:eastAsia="仿宋_GB2312"/>
          <w:color w:val="000000"/>
          <w:sz w:val="32"/>
          <w:lang w:val="zh-CN"/>
        </w:rPr>
        <w:t>科学技术支出0万元，占0%；文化体育与传媒支出0万元，占0%；</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_GB2312" w:hAnsi="仿宋_GB2312" w:eastAsia="仿宋_GB2312"/>
          <w:b/>
          <w:bCs/>
          <w:color w:val="000000"/>
          <w:sz w:val="32"/>
          <w:lang w:val="zh-CN"/>
        </w:rPr>
        <w:t>30.83</w:t>
      </w:r>
      <w:r>
        <w:rPr>
          <w:rFonts w:hint="eastAsia" w:ascii="仿宋" w:hAnsi="仿宋" w:eastAsia="仿宋"/>
          <w:b/>
          <w:bCs/>
          <w:sz w:val="32"/>
          <w:szCs w:val="32"/>
        </w:rPr>
        <w:t>万元</w:t>
      </w:r>
      <w:r>
        <w:rPr>
          <w:rFonts w:hint="eastAsia" w:ascii="仿宋" w:hAnsi="仿宋" w:eastAsia="仿宋"/>
          <w:sz w:val="32"/>
          <w:szCs w:val="32"/>
        </w:rPr>
        <w:t>，</w:t>
      </w:r>
      <w:r>
        <w:rPr>
          <w:rFonts w:hint="eastAsia" w:ascii="仿宋" w:hAnsi="仿宋" w:eastAsia="仿宋"/>
          <w:b/>
          <w:bCs/>
          <w:sz w:val="32"/>
          <w:szCs w:val="32"/>
        </w:rPr>
        <w:t>占0.94</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_GB2312" w:hAnsi="仿宋_GB2312" w:eastAsia="仿宋_GB2312"/>
          <w:b/>
          <w:bCs/>
          <w:color w:val="000000"/>
          <w:sz w:val="32"/>
          <w:lang w:val="zh-CN"/>
        </w:rPr>
        <w:t>93.6</w:t>
      </w:r>
      <w:r>
        <w:rPr>
          <w:rFonts w:hint="eastAsia" w:ascii="仿宋_GB2312" w:hAnsi="仿宋_GB2312" w:eastAsia="仿宋_GB2312"/>
          <w:b/>
          <w:bCs/>
          <w:color w:val="000000"/>
          <w:sz w:val="32"/>
          <w:lang w:val="en-US" w:eastAsia="zh-CN"/>
        </w:rPr>
        <w:t>0</w:t>
      </w:r>
      <w:r>
        <w:rPr>
          <w:rFonts w:hint="eastAsia" w:ascii="仿宋" w:hAnsi="仿宋" w:eastAsia="仿宋"/>
          <w:b/>
          <w:bCs/>
          <w:sz w:val="32"/>
          <w:szCs w:val="32"/>
        </w:rPr>
        <w:t>万元</w:t>
      </w:r>
      <w:r>
        <w:rPr>
          <w:rFonts w:hint="eastAsia" w:ascii="仿宋" w:hAnsi="仿宋" w:eastAsia="仿宋"/>
          <w:sz w:val="32"/>
          <w:szCs w:val="32"/>
        </w:rPr>
        <w:t>，</w:t>
      </w:r>
      <w:r>
        <w:rPr>
          <w:rFonts w:hint="eastAsia" w:ascii="仿宋" w:hAnsi="仿宋" w:eastAsia="仿宋"/>
          <w:b/>
          <w:bCs/>
          <w:sz w:val="32"/>
          <w:szCs w:val="32"/>
        </w:rPr>
        <w:t>占2.86</w:t>
      </w:r>
      <w:r>
        <w:rPr>
          <w:rFonts w:ascii="仿宋" w:hAnsi="仿宋" w:eastAsia="仿宋"/>
          <w:b/>
          <w:bCs/>
          <w:sz w:val="32"/>
          <w:szCs w:val="32"/>
        </w:rPr>
        <w:t>%</w:t>
      </w:r>
      <w:r>
        <w:rPr>
          <w:rFonts w:hint="eastAsia" w:ascii="仿宋" w:hAnsi="仿宋" w:eastAsia="仿宋"/>
          <w:sz w:val="32"/>
          <w:szCs w:val="32"/>
        </w:rPr>
        <w:t>；</w:t>
      </w:r>
      <w:r>
        <w:rPr>
          <w:rFonts w:hint="eastAsia" w:ascii="仿宋_GB2312" w:hAnsi="仿宋_GB2312" w:eastAsia="仿宋_GB2312"/>
          <w:color w:val="000000"/>
          <w:sz w:val="32"/>
          <w:lang w:val="zh-CN"/>
        </w:rPr>
        <w:t>节能环保支出0万元，占0%；城乡社区支出0万元，占0%；</w:t>
      </w:r>
      <w:r>
        <w:rPr>
          <w:rFonts w:hint="eastAsia" w:ascii="仿宋" w:hAnsi="仿宋" w:eastAsia="仿宋"/>
          <w:b/>
          <w:bCs/>
          <w:sz w:val="32"/>
          <w:szCs w:val="32"/>
          <w:lang w:val="zh-CN"/>
        </w:rPr>
        <w:t>农林水支出2,000</w:t>
      </w:r>
      <w:r>
        <w:rPr>
          <w:rFonts w:hint="eastAsia" w:ascii="仿宋" w:hAnsi="仿宋" w:eastAsia="仿宋"/>
          <w:b/>
          <w:bCs/>
          <w:sz w:val="32"/>
          <w:szCs w:val="32"/>
          <w:lang w:val="en-US" w:eastAsia="zh-CN"/>
        </w:rPr>
        <w:t>.00</w:t>
      </w:r>
      <w:r>
        <w:rPr>
          <w:rFonts w:hint="eastAsia" w:ascii="仿宋_GB2312" w:hAnsi="仿宋_GB2312" w:eastAsia="仿宋_GB2312"/>
          <w:color w:val="000000"/>
          <w:sz w:val="32"/>
          <w:lang w:val="zh-CN"/>
        </w:rPr>
        <w:t>万元，</w:t>
      </w:r>
      <w:r>
        <w:rPr>
          <w:rFonts w:hint="eastAsia" w:ascii="仿宋" w:hAnsi="仿宋" w:eastAsia="仿宋"/>
          <w:b/>
          <w:bCs/>
          <w:sz w:val="32"/>
          <w:szCs w:val="32"/>
          <w:lang w:val="zh-CN"/>
        </w:rPr>
        <w:t>占61.1</w:t>
      </w:r>
      <w:r>
        <w:rPr>
          <w:rFonts w:hint="eastAsia" w:ascii="仿宋" w:hAnsi="仿宋" w:eastAsia="仿宋"/>
          <w:b/>
          <w:bCs/>
          <w:sz w:val="32"/>
          <w:szCs w:val="32"/>
        </w:rPr>
        <w:t>4</w:t>
      </w:r>
      <w:r>
        <w:rPr>
          <w:rFonts w:hint="eastAsia" w:ascii="仿宋" w:hAnsi="仿宋" w:eastAsia="仿宋"/>
          <w:b/>
          <w:bCs/>
          <w:sz w:val="32"/>
          <w:szCs w:val="32"/>
          <w:lang w:val="zh-CN"/>
        </w:rPr>
        <w:t>%</w:t>
      </w:r>
      <w:r>
        <w:rPr>
          <w:rFonts w:hint="eastAsia" w:ascii="仿宋_GB2312" w:hAnsi="仿宋_GB2312" w:eastAsia="仿宋_GB2312"/>
          <w:color w:val="000000"/>
          <w:sz w:val="32"/>
          <w:lang w:val="zh-CN"/>
        </w:rPr>
        <w:t>；交通运输支出0万元，占0%；资源勘探工业信息等支出0万元，占0%；商业服务业等支出0万元，占0%；金融支出0万元，占0%；援助其他地区支出0万元，占0%；自然资源海洋气象等支出0万元，占0%；</w:t>
      </w:r>
      <w:r>
        <w:rPr>
          <w:rFonts w:hint="eastAsia" w:ascii="仿宋" w:hAnsi="仿宋" w:eastAsia="仿宋"/>
          <w:b/>
          <w:bCs/>
          <w:sz w:val="32"/>
          <w:szCs w:val="32"/>
        </w:rPr>
        <w:t>住房保障支出</w:t>
      </w:r>
      <w:r>
        <w:rPr>
          <w:rFonts w:hint="eastAsia" w:ascii="仿宋" w:hAnsi="仿宋" w:eastAsia="仿宋"/>
          <w:b/>
          <w:bCs/>
          <w:sz w:val="32"/>
          <w:szCs w:val="32"/>
          <w:lang w:val="zh-CN"/>
        </w:rPr>
        <w:t>95.89</w:t>
      </w:r>
      <w:r>
        <w:rPr>
          <w:rFonts w:hint="eastAsia" w:ascii="仿宋" w:hAnsi="仿宋" w:eastAsia="仿宋"/>
          <w:b/>
          <w:bCs/>
          <w:sz w:val="32"/>
          <w:szCs w:val="32"/>
        </w:rPr>
        <w:t>万元</w:t>
      </w:r>
      <w:r>
        <w:rPr>
          <w:rFonts w:hint="eastAsia" w:ascii="仿宋" w:hAnsi="仿宋" w:eastAsia="仿宋"/>
          <w:sz w:val="32"/>
          <w:szCs w:val="32"/>
        </w:rPr>
        <w:t>，</w:t>
      </w:r>
      <w:r>
        <w:rPr>
          <w:rFonts w:hint="eastAsia" w:ascii="仿宋" w:hAnsi="仿宋" w:eastAsia="仿宋"/>
          <w:b/>
          <w:bCs/>
          <w:sz w:val="32"/>
          <w:szCs w:val="32"/>
        </w:rPr>
        <w:t>占2.93</w:t>
      </w:r>
      <w:r>
        <w:rPr>
          <w:rFonts w:ascii="仿宋" w:hAnsi="仿宋" w:eastAsia="仿宋"/>
          <w:b/>
          <w:bCs/>
          <w:sz w:val="32"/>
          <w:szCs w:val="32"/>
        </w:rPr>
        <w:t>%</w:t>
      </w:r>
      <w:r>
        <w:rPr>
          <w:rFonts w:hint="eastAsia" w:ascii="仿宋" w:hAnsi="仿宋" w:eastAsia="仿宋"/>
          <w:b/>
          <w:bCs/>
          <w:sz w:val="32"/>
          <w:szCs w:val="32"/>
        </w:rPr>
        <w:t>；</w:t>
      </w:r>
      <w:r>
        <w:rPr>
          <w:rFonts w:hint="eastAsia" w:ascii="仿宋_GB2312" w:hAnsi="仿宋_GB2312" w:eastAsia="仿宋_GB2312"/>
          <w:color w:val="000000"/>
          <w:sz w:val="32"/>
          <w:lang w:val="zh-CN"/>
        </w:rPr>
        <w:t>粮油物资储备支出0万元，占0%；国有资本经营预算支出0万元，占0%；灾害防治及应急管理支出0万元，占0%；其他支出0万元，占0%；债务还本支出0万元，占0%；债务付息支出0万元，占0%；抗疫特别国债安排的支出0万元，占0%。</w:t>
      </w:r>
    </w:p>
    <w:p>
      <w:pPr>
        <w:widowControl/>
        <w:jc w:val="left"/>
        <w:rPr>
          <w:rFonts w:ascii="宋体" w:hAnsi="宋体" w:cs="宋体"/>
          <w:kern w:val="0"/>
          <w:sz w:val="24"/>
        </w:rPr>
      </w:pPr>
      <w:r>
        <w:rPr>
          <w:rFonts w:ascii="宋体" w:hAnsi="宋体" w:cs="宋体"/>
          <w:kern w:val="0"/>
          <w:sz w:val="24"/>
        </w:rPr>
        <w:drawing>
          <wp:inline distT="0" distB="0" distL="0" distR="0">
            <wp:extent cx="5522595" cy="2910840"/>
            <wp:effectExtent l="0" t="0" r="1905" b="3810"/>
            <wp:docPr id="9" name="图片 9" descr="C:\Users\Administrator\AppData\Roaming\Tencent\Users\353483046\QQ\WinTemp\RichOle\5SV{7PW@_ZH`%)XD)E`8BZ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AppData\Roaming\Tencent\Users\353483046\QQ\WinTemp\RichOle\5SV{7PW@_ZH`%)XD)E`8BZJ.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22928" cy="2911424"/>
                    </a:xfrm>
                    <a:prstGeom prst="rect">
                      <a:avLst/>
                    </a:prstGeom>
                    <a:noFill/>
                    <a:ln>
                      <a:noFill/>
                    </a:ln>
                  </pic:spPr>
                </pic:pic>
              </a:graphicData>
            </a:graphic>
          </wp:inline>
        </w:drawing>
      </w:r>
    </w:p>
    <w:p>
      <w:pPr>
        <w:spacing w:line="600" w:lineRule="exact"/>
        <w:ind w:firstLine="320" w:firstLineChars="100"/>
        <w:rPr>
          <w:rFonts w:hint="eastAsia"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320" w:firstLineChars="100"/>
        <w:rPr>
          <w:rFonts w:hint="eastAsia"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48" w:name="_Toc19210"/>
      <w:bookmarkStart w:id="49" w:name="_Toc15377212"/>
      <w:r>
        <w:rPr>
          <w:rFonts w:hint="eastAsia" w:ascii="仿宋" w:hAnsi="仿宋" w:eastAsia="仿宋"/>
          <w:b/>
          <w:sz w:val="32"/>
          <w:szCs w:val="32"/>
        </w:rPr>
        <w:t>（三）一般公共预算财政拨款支出决算具体情况</w:t>
      </w:r>
      <w:bookmarkEnd w:id="48"/>
      <w:bookmarkEnd w:id="49"/>
    </w:p>
    <w:p>
      <w:pPr>
        <w:spacing w:line="600" w:lineRule="exact"/>
        <w:ind w:firstLine="643" w:firstLineChars="200"/>
        <w:outlineLvl w:val="2"/>
        <w:rPr>
          <w:rFonts w:ascii="仿宋" w:hAnsi="仿宋" w:eastAsia="仿宋"/>
          <w:sz w:val="32"/>
          <w:szCs w:val="32"/>
        </w:rPr>
      </w:pPr>
      <w:bookmarkStart w:id="50" w:name="_Toc15377444"/>
      <w:bookmarkStart w:id="51" w:name="_Toc15377213"/>
      <w:bookmarkStart w:id="52" w:name="_Toc15378460"/>
      <w:bookmarkStart w:id="53" w:name="_Toc15951"/>
      <w:r>
        <w:rPr>
          <w:rFonts w:hint="eastAsia" w:ascii="仿宋" w:hAnsi="仿宋" w:eastAsia="仿宋"/>
          <w:b/>
          <w:sz w:val="32"/>
          <w:szCs w:val="32"/>
        </w:rPr>
        <w:t>2022年一般公共预算支出决算数为</w:t>
      </w:r>
      <w:r>
        <w:rPr>
          <w:rFonts w:hint="eastAsia" w:ascii="仿宋_GB2312" w:hAnsi="仿宋_GB2312" w:eastAsia="仿宋_GB2312"/>
          <w:b/>
          <w:color w:val="000000"/>
          <w:sz w:val="32"/>
          <w:lang w:val="zh-CN"/>
        </w:rPr>
        <w:t>3,271.37万元</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50"/>
      <w:bookmarkEnd w:id="51"/>
      <w:bookmarkEnd w:id="52"/>
      <w:bookmarkEnd w:id="53"/>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cstheme="minorBidi"/>
          <w:bCs/>
          <w:sz w:val="32"/>
          <w:szCs w:val="32"/>
        </w:rPr>
        <w:t>1.教育（类）普通教育（款）高等教育（项）: 支出决算为</w:t>
      </w:r>
      <w:r>
        <w:rPr>
          <w:rStyle w:val="16"/>
          <w:rFonts w:hint="eastAsia" w:ascii="仿宋" w:hAnsi="仿宋" w:eastAsia="仿宋" w:cstheme="minorBidi"/>
          <w:bCs/>
          <w:sz w:val="32"/>
          <w:szCs w:val="32"/>
          <w:lang w:val="zh-CN"/>
        </w:rPr>
        <w:t>1,0</w:t>
      </w:r>
      <w:r>
        <w:rPr>
          <w:rStyle w:val="16"/>
          <w:rFonts w:hint="eastAsia" w:ascii="仿宋" w:hAnsi="仿宋" w:eastAsia="仿宋" w:cstheme="minorBidi"/>
          <w:bCs/>
          <w:sz w:val="32"/>
          <w:szCs w:val="32"/>
        </w:rPr>
        <w:t>45</w:t>
      </w:r>
      <w:r>
        <w:rPr>
          <w:rStyle w:val="16"/>
          <w:rFonts w:hint="eastAsia" w:ascii="仿宋" w:hAnsi="仿宋" w:eastAsia="仿宋" w:cstheme="minorBidi"/>
          <w:bCs/>
          <w:sz w:val="32"/>
          <w:szCs w:val="32"/>
          <w:lang w:val="zh-CN"/>
        </w:rPr>
        <w:t>.0</w:t>
      </w:r>
      <w:r>
        <w:rPr>
          <w:rFonts w:hint="eastAsia" w:ascii="仿宋" w:hAnsi="仿宋" w:eastAsia="仿宋"/>
          <w:b/>
          <w:sz w:val="32"/>
          <w:szCs w:val="32"/>
          <w:lang w:val="zh-CN"/>
        </w:rPr>
        <w:t>5</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2</w:t>
      </w:r>
      <w:r>
        <w:rPr>
          <w:rStyle w:val="16"/>
          <w:rFonts w:ascii="仿宋" w:hAnsi="仿宋" w:eastAsia="仿宋"/>
          <w:bCs/>
          <w:sz w:val="32"/>
          <w:szCs w:val="32"/>
        </w:rPr>
        <w:t>.</w:t>
      </w:r>
      <w:r>
        <w:rPr>
          <w:rStyle w:val="16"/>
          <w:rFonts w:hint="eastAsia" w:ascii="仿宋" w:hAnsi="仿宋" w:eastAsia="仿宋"/>
          <w:bCs/>
          <w:sz w:val="32"/>
          <w:szCs w:val="32"/>
        </w:rPr>
        <w:t>教育（类）进修及培训（款）培训支出（项）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Fonts w:hint="eastAsia" w:ascii="仿宋" w:hAnsi="仿宋" w:eastAsia="仿宋"/>
          <w:b/>
          <w:sz w:val="32"/>
          <w:szCs w:val="32"/>
        </w:rPr>
        <w:t>6.00</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3</w:t>
      </w:r>
      <w:r>
        <w:rPr>
          <w:rStyle w:val="16"/>
          <w:rFonts w:ascii="仿宋" w:hAnsi="仿宋" w:eastAsia="仿宋"/>
          <w:bCs/>
          <w:sz w:val="32"/>
          <w:szCs w:val="32"/>
        </w:rPr>
        <w:t>.</w:t>
      </w:r>
      <w:r>
        <w:rPr>
          <w:rStyle w:val="16"/>
          <w:rFonts w:hint="eastAsia" w:ascii="仿宋" w:hAnsi="仿宋" w:eastAsia="仿宋"/>
          <w:bCs/>
          <w:sz w:val="32"/>
          <w:szCs w:val="32"/>
        </w:rPr>
        <w:t>社会保障和就业（类）行政事业单位养老（款）事业单位离退休（项）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Fonts w:hint="eastAsia" w:ascii="仿宋_GB2312" w:hAnsi="仿宋_GB2312" w:eastAsia="仿宋_GB2312"/>
          <w:b/>
          <w:bCs/>
          <w:color w:val="000000"/>
          <w:sz w:val="32"/>
        </w:rPr>
        <w:t>22.05</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sz w:val="32"/>
          <w:szCs w:val="32"/>
        </w:rPr>
        <w:t>社会保障和就业（类）其他生活救助（款）其他城市生活救助（项）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Fonts w:hint="eastAsia" w:ascii="仿宋_GB2312" w:hAnsi="仿宋_GB2312" w:eastAsia="仿宋_GB2312"/>
          <w:b/>
          <w:bCs/>
          <w:color w:val="000000"/>
          <w:sz w:val="32"/>
        </w:rPr>
        <w:t>8.78</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5</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（类）行政事业单位医疗（款）事业单位医疗（项）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Fonts w:hint="eastAsia" w:ascii="仿宋_GB2312" w:hAnsi="仿宋_GB2312" w:eastAsia="仿宋_GB2312"/>
          <w:b/>
          <w:bCs/>
          <w:color w:val="000000"/>
          <w:sz w:val="32"/>
        </w:rPr>
        <w:t>66.32</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6</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（类）行政事业单位医疗（款）公务员医疗补助（项）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Fonts w:hint="eastAsia" w:ascii="仿宋_GB2312" w:hAnsi="仿宋_GB2312" w:eastAsia="仿宋_GB2312"/>
          <w:b/>
          <w:bCs/>
          <w:color w:val="000000"/>
          <w:sz w:val="32"/>
        </w:rPr>
        <w:t>27.28</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cstheme="minorBidi"/>
          <w:bCs/>
          <w:sz w:val="32"/>
          <w:szCs w:val="32"/>
        </w:rPr>
        <w:t>7.</w:t>
      </w:r>
      <w:r>
        <w:rPr>
          <w:rFonts w:hint="eastAsia" w:ascii="仿宋" w:hAnsi="仿宋" w:eastAsia="仿宋"/>
          <w:b/>
          <w:bCs/>
          <w:sz w:val="32"/>
          <w:szCs w:val="32"/>
        </w:rPr>
        <w:t>农林水</w:t>
      </w:r>
      <w:r>
        <w:rPr>
          <w:rStyle w:val="16"/>
          <w:rFonts w:hint="eastAsia" w:ascii="仿宋" w:hAnsi="仿宋" w:eastAsia="仿宋"/>
          <w:bCs/>
          <w:sz w:val="32"/>
          <w:szCs w:val="32"/>
        </w:rPr>
        <w:t>（类）巩固脱贫衔接乡村振兴（款）社会发展（项）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Fonts w:hint="eastAsia" w:ascii="仿宋" w:hAnsi="仿宋" w:eastAsia="仿宋"/>
          <w:b/>
          <w:bCs/>
          <w:sz w:val="32"/>
          <w:szCs w:val="32"/>
          <w:lang w:val="zh-CN"/>
        </w:rPr>
        <w:t>2,000</w:t>
      </w:r>
      <w:r>
        <w:rPr>
          <w:rFonts w:hint="eastAsia" w:ascii="仿宋" w:hAnsi="仿宋" w:eastAsia="仿宋"/>
          <w:b/>
          <w:bCs/>
          <w:sz w:val="32"/>
          <w:szCs w:val="32"/>
        </w:rPr>
        <w:t>.00</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spacing w:line="600" w:lineRule="exact"/>
        <w:ind w:firstLine="643" w:firstLineChars="200"/>
        <w:rPr>
          <w:rStyle w:val="16"/>
          <w:rFonts w:ascii="仿宋" w:hAnsi="仿宋" w:eastAsia="仿宋" w:cstheme="minorBidi"/>
          <w:bCs/>
          <w:sz w:val="32"/>
          <w:szCs w:val="32"/>
        </w:rPr>
      </w:pPr>
      <w:r>
        <w:rPr>
          <w:rStyle w:val="16"/>
          <w:rFonts w:hint="eastAsia" w:ascii="仿宋" w:hAnsi="仿宋" w:eastAsia="仿宋" w:cstheme="minorBidi"/>
          <w:bCs/>
          <w:sz w:val="32"/>
          <w:szCs w:val="32"/>
        </w:rPr>
        <w:t>8.</w:t>
      </w:r>
      <w:r>
        <w:rPr>
          <w:rFonts w:hint="eastAsia" w:ascii="仿宋" w:hAnsi="仿宋" w:eastAsia="仿宋"/>
          <w:b/>
          <w:bCs/>
          <w:sz w:val="32"/>
          <w:szCs w:val="32"/>
        </w:rPr>
        <w:t>住房保障</w:t>
      </w:r>
      <w:r>
        <w:rPr>
          <w:rStyle w:val="16"/>
          <w:rFonts w:hint="eastAsia" w:ascii="仿宋" w:hAnsi="仿宋" w:eastAsia="仿宋"/>
          <w:bCs/>
          <w:sz w:val="32"/>
          <w:szCs w:val="32"/>
        </w:rPr>
        <w:t>（类）住房改革（款）住房公积金（项）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Fonts w:hint="eastAsia" w:ascii="仿宋" w:hAnsi="仿宋" w:eastAsia="仿宋"/>
          <w:b/>
          <w:bCs/>
          <w:sz w:val="32"/>
          <w:szCs w:val="32"/>
          <w:lang w:val="zh-CN"/>
        </w:rPr>
        <w:t>95.89</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，决算数与预算数持平。</w:t>
      </w:r>
    </w:p>
    <w:p>
      <w:pPr>
        <w:tabs>
          <w:tab w:val="right" w:pos="8306"/>
        </w:tabs>
        <w:spacing w:line="600" w:lineRule="exact"/>
        <w:ind w:firstLine="640"/>
        <w:outlineLvl w:val="1"/>
        <w:rPr>
          <w:rStyle w:val="28"/>
        </w:rPr>
      </w:pPr>
      <w:bookmarkStart w:id="54" w:name="_Toc7011"/>
      <w:bookmarkStart w:id="55" w:name="_Toc15396608"/>
      <w:bookmarkStart w:id="56"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54"/>
      <w:bookmarkEnd w:id="55"/>
      <w:bookmarkEnd w:id="56"/>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_GB2312" w:hAnsi="仿宋_GB2312" w:eastAsia="仿宋_GB2312"/>
          <w:color w:val="000000"/>
          <w:sz w:val="32"/>
          <w:lang w:val="zh-CN"/>
        </w:rPr>
        <w:t>1,271.37</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_GB2312" w:hAnsi="仿宋_GB2312" w:eastAsia="仿宋_GB2312"/>
          <w:color w:val="000000"/>
          <w:sz w:val="32"/>
          <w:lang w:val="zh-CN"/>
        </w:rPr>
        <w:t>1,085.29</w:t>
      </w:r>
      <w:r>
        <w:rPr>
          <w:rFonts w:hint="eastAsia" w:ascii="仿宋" w:hAnsi="仿宋" w:eastAsia="仿宋"/>
          <w:sz w:val="32"/>
          <w:szCs w:val="32"/>
        </w:rPr>
        <w:t>万元，主要包括：基本工资、津贴补贴、奖金、职工基本医疗保险缴费、公务员医疗补助缴费、其他社会保障缴费、住房公积金、离休费、抚恤金、生活补助、其他对个人和家庭的补助支出等。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w:t>
      </w:r>
      <w:r>
        <w:rPr>
          <w:rFonts w:hint="eastAsia" w:ascii="仿宋_GB2312" w:hAnsi="仿宋_GB2312" w:eastAsia="仿宋_GB2312"/>
          <w:color w:val="000000"/>
          <w:sz w:val="32"/>
          <w:lang w:val="zh-CN"/>
        </w:rPr>
        <w:t>186.08</w:t>
      </w:r>
      <w:r>
        <w:rPr>
          <w:rFonts w:hint="eastAsia" w:ascii="仿宋" w:hAnsi="仿宋" w:eastAsia="仿宋"/>
          <w:sz w:val="32"/>
          <w:szCs w:val="32"/>
        </w:rPr>
        <w:t>万元，主要包括：办公费、印刷费、水费、电费、物业管理费、差旅费、维修（护）费、培训费、专用材料费、劳务费、工会经费、福利费、其他商品和服务支出等。</w:t>
      </w:r>
    </w:p>
    <w:p>
      <w:pPr>
        <w:spacing w:line="600" w:lineRule="exact"/>
        <w:ind w:firstLine="640"/>
        <w:outlineLvl w:val="1"/>
        <w:rPr>
          <w:rStyle w:val="28"/>
          <w:rFonts w:ascii="黑体" w:hAnsi="黑体" w:eastAsia="黑体"/>
          <w:b w:val="0"/>
        </w:rPr>
      </w:pPr>
      <w:bookmarkStart w:id="57" w:name="_Toc13164"/>
      <w:bookmarkStart w:id="58" w:name="_Toc15377215"/>
      <w:bookmarkStart w:id="59"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57"/>
      <w:bookmarkEnd w:id="58"/>
      <w:bookmarkEnd w:id="59"/>
    </w:p>
    <w:p>
      <w:pPr>
        <w:spacing w:line="600" w:lineRule="exact"/>
        <w:ind w:firstLine="640"/>
        <w:outlineLvl w:val="2"/>
        <w:rPr>
          <w:rFonts w:ascii="仿宋" w:hAnsi="仿宋" w:eastAsia="仿宋"/>
          <w:b/>
          <w:sz w:val="32"/>
          <w:szCs w:val="32"/>
        </w:rPr>
      </w:pPr>
      <w:bookmarkStart w:id="60" w:name="_Toc15377216"/>
      <w:bookmarkStart w:id="61" w:name="_Toc8631"/>
      <w:r>
        <w:rPr>
          <w:rFonts w:hint="eastAsia" w:ascii="仿宋" w:hAnsi="仿宋" w:eastAsia="仿宋"/>
          <w:b/>
          <w:sz w:val="32"/>
          <w:szCs w:val="32"/>
        </w:rPr>
        <w:t>（一）“三公”经费财政拨款支出决算总体情况说明</w:t>
      </w:r>
      <w:bookmarkEnd w:id="60"/>
      <w:bookmarkEnd w:id="61"/>
    </w:p>
    <w:p>
      <w:pPr>
        <w:spacing w:line="600" w:lineRule="exact"/>
        <w:ind w:firstLine="640"/>
      </w:pPr>
      <w:r>
        <w:rPr>
          <w:rFonts w:ascii="仿宋" w:hAnsi="仿宋" w:eastAsia="仿宋"/>
          <w:sz w:val="32"/>
          <w:szCs w:val="32"/>
        </w:rPr>
        <w:t>20</w:t>
      </w:r>
      <w:r>
        <w:rPr>
          <w:rFonts w:hint="eastAsia" w:ascii="仿宋" w:hAnsi="仿宋" w:eastAsia="仿宋"/>
          <w:sz w:val="32"/>
          <w:szCs w:val="32"/>
        </w:rPr>
        <w:t>22年“三公”经费财政拨款支出决算为0万元，完成预算100</w:t>
      </w:r>
      <w:r>
        <w:rPr>
          <w:rFonts w:ascii="仿宋" w:hAnsi="仿宋" w:eastAsia="仿宋"/>
          <w:sz w:val="32"/>
          <w:szCs w:val="32"/>
        </w:rPr>
        <w:t>%</w:t>
      </w:r>
      <w:r>
        <w:rPr>
          <w:rFonts w:hint="eastAsia" w:ascii="仿宋" w:hAnsi="仿宋" w:eastAsia="仿宋"/>
          <w:sz w:val="32"/>
          <w:szCs w:val="32"/>
        </w:rPr>
        <w:t>。与2021年决算数持平。</w:t>
      </w:r>
    </w:p>
    <w:p>
      <w:pPr>
        <w:spacing w:line="600" w:lineRule="exact"/>
        <w:ind w:firstLine="640"/>
        <w:outlineLvl w:val="2"/>
        <w:rPr>
          <w:rFonts w:ascii="仿宋" w:hAnsi="仿宋" w:eastAsia="仿宋"/>
          <w:b/>
          <w:sz w:val="32"/>
          <w:szCs w:val="32"/>
        </w:rPr>
      </w:pPr>
      <w:bookmarkStart w:id="62" w:name="_Toc10002"/>
      <w:bookmarkStart w:id="63" w:name="_Toc15377217"/>
      <w:r>
        <w:rPr>
          <w:rFonts w:hint="eastAsia" w:ascii="仿宋" w:hAnsi="仿宋" w:eastAsia="仿宋"/>
          <w:b/>
          <w:sz w:val="32"/>
          <w:szCs w:val="32"/>
        </w:rPr>
        <w:t>（二）“三公”经费财政拨款支出决算具体情况说明</w:t>
      </w:r>
      <w:bookmarkEnd w:id="62"/>
      <w:bookmarkEnd w:id="6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w:t>
      </w:r>
    </w:p>
    <w:p>
      <w:pPr>
        <w:numPr>
          <w:ilvl w:val="0"/>
          <w:numId w:val="3"/>
        </w:numPr>
        <w:spacing w:line="600" w:lineRule="exact"/>
        <w:ind w:firstLine="640"/>
        <w:rPr>
          <w:rFonts w:hint="eastAsia"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全年安排因公出国（境）团组0次，出国（境）0人。因公出国（境）支出决算数与2021年持平。</w:t>
      </w:r>
    </w:p>
    <w:p>
      <w:pPr>
        <w:numPr>
          <w:ilvl w:val="0"/>
          <w:numId w:val="3"/>
        </w:num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公务用车购置及运行维护费支出决算数与2021年持平。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公务接待费支出决算数与2021年持平。</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万元。国内公务接待0批次，0人次（不包括陪同人员），共计支出0万元。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万元，外事接待0批次，0人次，共计支出0万元。</w:t>
      </w:r>
    </w:p>
    <w:p>
      <w:pPr>
        <w:spacing w:line="600" w:lineRule="exact"/>
        <w:ind w:firstLine="640"/>
        <w:rPr>
          <w:rFonts w:ascii="黑体" w:eastAsia="黑体"/>
          <w:sz w:val="32"/>
          <w:szCs w:val="32"/>
        </w:rPr>
      </w:pPr>
      <w:bookmarkStart w:id="64" w:name="_Toc15396610"/>
      <w:bookmarkStart w:id="65" w:name="_Toc15377218"/>
    </w:p>
    <w:p>
      <w:pPr>
        <w:spacing w:line="600" w:lineRule="exact"/>
        <w:ind w:firstLine="640"/>
        <w:outlineLvl w:val="1"/>
        <w:rPr>
          <w:rStyle w:val="28"/>
          <w:rFonts w:ascii="黑体" w:hAnsi="黑体" w:eastAsia="黑体"/>
        </w:rPr>
      </w:pPr>
      <w:bookmarkStart w:id="66" w:name="_Toc3065"/>
      <w:r>
        <w:rPr>
          <w:rFonts w:hint="eastAsia" w:ascii="黑体" w:eastAsia="黑体"/>
          <w:sz w:val="32"/>
          <w:szCs w:val="32"/>
        </w:rPr>
        <w:t>八、</w:t>
      </w:r>
      <w:r>
        <w:rPr>
          <w:rStyle w:val="28"/>
          <w:rFonts w:hint="eastAsia" w:ascii="黑体" w:hAnsi="黑体" w:eastAsia="黑体"/>
          <w:b w:val="0"/>
        </w:rPr>
        <w:t>政府性基金预算支出决算情况说明</w:t>
      </w:r>
      <w:bookmarkEnd w:id="64"/>
      <w:bookmarkEnd w:id="65"/>
      <w:bookmarkEnd w:id="6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4"/>
        </w:numPr>
        <w:spacing w:line="600" w:lineRule="exact"/>
        <w:ind w:firstLine="640"/>
        <w:outlineLvl w:val="1"/>
        <w:rPr>
          <w:rStyle w:val="28"/>
          <w:rFonts w:ascii="黑体" w:hAnsi="黑体" w:eastAsia="黑体"/>
          <w:b w:val="0"/>
        </w:rPr>
      </w:pPr>
      <w:bookmarkStart w:id="67" w:name="_Toc3406"/>
      <w:bookmarkStart w:id="68" w:name="_Toc15377219"/>
      <w:bookmarkStart w:id="69" w:name="_Toc15396611"/>
      <w:r>
        <w:rPr>
          <w:rStyle w:val="28"/>
          <w:rFonts w:hint="eastAsia" w:ascii="黑体" w:hAnsi="黑体" w:eastAsia="黑体"/>
          <w:b w:val="0"/>
        </w:rPr>
        <w:t>国有资本经营预算支出决算情况说明</w:t>
      </w:r>
      <w:bookmarkEnd w:id="67"/>
      <w:bookmarkEnd w:id="68"/>
      <w:bookmarkEnd w:id="6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4"/>
        </w:numPr>
        <w:spacing w:line="600" w:lineRule="exact"/>
        <w:ind w:firstLine="640"/>
        <w:outlineLvl w:val="1"/>
        <w:rPr>
          <w:rStyle w:val="28"/>
          <w:rFonts w:ascii="黑体" w:hAnsi="黑体" w:eastAsia="黑体"/>
          <w:b w:val="0"/>
        </w:rPr>
      </w:pPr>
      <w:bookmarkStart w:id="70" w:name="_Toc15377221"/>
      <w:bookmarkStart w:id="71" w:name="_Toc15396612"/>
      <w:bookmarkStart w:id="72" w:name="_Toc3168"/>
      <w:r>
        <w:rPr>
          <w:rStyle w:val="28"/>
          <w:rFonts w:hint="eastAsia" w:ascii="黑体" w:hAnsi="黑体" w:eastAsia="黑体"/>
          <w:b w:val="0"/>
        </w:rPr>
        <w:t>其他重要事项的情况说明</w:t>
      </w:r>
      <w:bookmarkEnd w:id="70"/>
      <w:bookmarkEnd w:id="71"/>
      <w:bookmarkEnd w:id="72"/>
    </w:p>
    <w:p>
      <w:pPr>
        <w:spacing w:line="600" w:lineRule="exact"/>
        <w:ind w:firstLine="643" w:firstLineChars="200"/>
        <w:outlineLvl w:val="2"/>
        <w:rPr>
          <w:rFonts w:ascii="仿宋" w:hAnsi="仿宋" w:eastAsia="仿宋"/>
          <w:sz w:val="32"/>
          <w:szCs w:val="32"/>
        </w:rPr>
      </w:pPr>
      <w:bookmarkStart w:id="73" w:name="_Toc3182"/>
      <w:bookmarkStart w:id="74" w:name="_Toc15377222"/>
      <w:r>
        <w:rPr>
          <w:rFonts w:hint="eastAsia" w:ascii="仿宋" w:hAnsi="仿宋" w:eastAsia="仿宋"/>
          <w:b/>
          <w:sz w:val="32"/>
          <w:szCs w:val="32"/>
        </w:rPr>
        <w:t>（一）机关运行经费支出情况</w:t>
      </w:r>
      <w:bookmarkEnd w:id="73"/>
      <w:bookmarkEnd w:id="74"/>
    </w:p>
    <w:p>
      <w:pPr>
        <w:spacing w:line="600" w:lineRule="exact"/>
        <w:ind w:firstLine="643" w:firstLineChars="200"/>
        <w:rPr>
          <w:rFonts w:ascii="仿宋_GB2312" w:eastAsia="仿宋_GB2312"/>
          <w:sz w:val="32"/>
          <w:szCs w:val="32"/>
        </w:rPr>
      </w:pPr>
      <w:r>
        <w:rPr>
          <w:rFonts w:hint="eastAsia" w:ascii="仿宋_GB2312" w:hAnsi="仿宋_GB2312" w:eastAsia="仿宋_GB2312"/>
          <w:b/>
          <w:bCs/>
          <w:iCs/>
          <w:color w:val="000000"/>
          <w:sz w:val="32"/>
          <w:szCs w:val="32"/>
        </w:rPr>
        <w:t>内江师范学院单位属于财政补助的事业单位，2022年无机关运行经费</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5" w:name="_Toc16681"/>
      <w:bookmarkStart w:id="76" w:name="_Toc15377223"/>
      <w:r>
        <w:rPr>
          <w:rFonts w:hint="eastAsia" w:ascii="仿宋" w:hAnsi="仿宋" w:eastAsia="仿宋"/>
          <w:b/>
          <w:sz w:val="32"/>
          <w:szCs w:val="32"/>
        </w:rPr>
        <w:t>（二）政府采购支出情况</w:t>
      </w:r>
      <w:bookmarkEnd w:id="75"/>
      <w:bookmarkEnd w:id="7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22年，内江师范学院政府采购支出总额0万元，其中：政府采购货物支出0万元、政府采购工程支出0万元、政府采购服务支出0万元。0授予中小企业合同金额0万元，占政府采购支出总额的0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7" w:name="_Toc15926"/>
      <w:bookmarkStart w:id="78" w:name="_Toc15377224"/>
      <w:r>
        <w:rPr>
          <w:rFonts w:hint="eastAsia" w:ascii="仿宋" w:hAnsi="仿宋" w:eastAsia="仿宋"/>
          <w:b/>
          <w:sz w:val="32"/>
          <w:szCs w:val="32"/>
        </w:rPr>
        <w:t>（三）国有资产占有使用情况</w:t>
      </w:r>
      <w:bookmarkEnd w:id="77"/>
      <w:bookmarkEnd w:id="7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日，内江师范学院共有车辆0辆，其中：主要领导干部用车0辆、机要通信用车0辆、应急保障用车0辆、其他用车0辆。单价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9" w:name="_Toc1923"/>
      <w:r>
        <w:rPr>
          <w:rFonts w:hint="eastAsia" w:ascii="仿宋" w:hAnsi="仿宋" w:eastAsia="仿宋"/>
          <w:b/>
          <w:sz w:val="32"/>
          <w:szCs w:val="32"/>
        </w:rPr>
        <w:t>（四）预算绩效管理情况</w:t>
      </w:r>
      <w:bookmarkEnd w:id="79"/>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本部门在2022年度</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组织项目预算事前绩效评估，</w:t>
      </w:r>
      <w:r>
        <w:rPr>
          <w:rFonts w:hint="eastAsia" w:ascii="仿宋_GB2312" w:hAnsi="仿宋_GB2312" w:eastAsia="仿宋_GB2312" w:cs="仿宋_GB2312"/>
          <w:sz w:val="32"/>
          <w:szCs w:val="32"/>
          <w:lang w:val="en-US" w:eastAsia="zh-CN"/>
        </w:rPr>
        <w:t>未编制</w:t>
      </w:r>
      <w:r>
        <w:rPr>
          <w:rFonts w:hint="eastAsia" w:ascii="仿宋_GB2312" w:hAnsi="仿宋_GB2312" w:eastAsia="仿宋_GB2312" w:cs="仿宋_GB2312"/>
          <w:sz w:val="32"/>
          <w:szCs w:val="32"/>
        </w:rPr>
        <w:t>项目绩效目标，</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开展项目绩效监控。</w:t>
      </w:r>
    </w:p>
    <w:p>
      <w:pPr>
        <w:widowControl/>
        <w:ind w:firstLine="640" w:firstLineChars="200"/>
        <w:jc w:val="left"/>
        <w:rPr>
          <w:rFonts w:ascii="仿宋_GB2312" w:eastAsia="仿宋_GB2312"/>
          <w:b/>
          <w:sz w:val="32"/>
          <w:szCs w:val="32"/>
          <w:highlight w:val="yellow"/>
        </w:rPr>
      </w:pP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组织对2022年度一般公共预算、政府性基金预算、国有资本经营预算、社会保险基金预算以及资本资产、债券资金等开展绩效自评，</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部门整体绩效自评报告、</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专项预算项目绩效自评报告</w:t>
      </w:r>
      <w:r>
        <w:rPr>
          <w:rFonts w:hint="eastAsia" w:ascii="仿宋_GB2312" w:hAnsi="仿宋_GB2312" w:eastAsia="仿宋_GB2312" w:cs="仿宋_GB2312"/>
          <w:sz w:val="32"/>
          <w:szCs w:val="32"/>
          <w:lang w:eastAsia="zh-CN"/>
        </w:rPr>
        <w:t>。</w:t>
      </w:r>
      <w:r>
        <w:rPr>
          <w:rFonts w:ascii="仿宋_GB2312" w:eastAsia="仿宋_GB2312"/>
          <w:b/>
          <w:sz w:val="32"/>
          <w:szCs w:val="32"/>
          <w:highlight w:val="yellow"/>
        </w:rPr>
        <w:br w:type="page"/>
      </w:r>
    </w:p>
    <w:p>
      <w:pPr>
        <w:numPr>
          <w:ilvl w:val="0"/>
          <w:numId w:val="5"/>
        </w:numPr>
        <w:spacing w:line="600" w:lineRule="exact"/>
        <w:ind w:firstLine="660" w:firstLineChars="150"/>
        <w:jc w:val="center"/>
        <w:outlineLvl w:val="0"/>
        <w:rPr>
          <w:rStyle w:val="27"/>
          <w:rFonts w:ascii="黑体" w:hAnsi="黑体" w:eastAsia="黑体"/>
          <w:b w:val="0"/>
        </w:rPr>
      </w:pPr>
      <w:bookmarkStart w:id="80" w:name="_Toc15377225"/>
      <w:bookmarkStart w:id="81" w:name="_Toc15396613"/>
      <w:bookmarkStart w:id="82" w:name="_Toc29618"/>
      <w:r>
        <w:rPr>
          <w:rFonts w:hint="eastAsia" w:ascii="黑体" w:hAnsi="黑体" w:eastAsia="黑体"/>
          <w:sz w:val="44"/>
          <w:szCs w:val="44"/>
        </w:rPr>
        <w:t>名</w:t>
      </w:r>
      <w:r>
        <w:rPr>
          <w:rStyle w:val="27"/>
          <w:rFonts w:hint="eastAsia" w:ascii="黑体" w:hAnsi="黑体" w:eastAsia="黑体"/>
          <w:b w:val="0"/>
        </w:rPr>
        <w:t>词解释</w:t>
      </w:r>
      <w:bookmarkEnd w:id="80"/>
      <w:bookmarkEnd w:id="81"/>
      <w:bookmarkEnd w:id="82"/>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rPr>
        <w:t>9.教育（类）普通教育（款）高等教育（项）：指</w:t>
      </w:r>
      <w:r>
        <w:rPr>
          <w:rFonts w:hint="eastAsia" w:ascii="仿宋_GB2312" w:eastAsia="仿宋_GB2312"/>
          <w:color w:val="000000"/>
          <w:sz w:val="32"/>
          <w:szCs w:val="32"/>
        </w:rPr>
        <w:t>各部门举办的普通本科（包括研究生）教育支出。政府各部门对社会组织等举办的普通本科高等院校（包括研究生）的资助，如捐赠、补贴等，也在本科目中反映</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10.教育（类）进修及培训（款）培训支出（项）：指</w:t>
      </w:r>
      <w:r>
        <w:rPr>
          <w:rFonts w:hint="eastAsia" w:ascii="仿宋_GB2312" w:eastAsia="仿宋_GB2312"/>
          <w:color w:val="000000"/>
          <w:sz w:val="32"/>
          <w:szCs w:val="32"/>
        </w:rPr>
        <w:t>各部门安排的用于培训的支出。教育部门的师资培训，党校、行政学院等专业干部教育机构的支出，以及退役士兵、转业士官的培训支出，不在本科目反映</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社会保障和就业（类）行政事业单位养老（款）事业单位离退休（项）：指事业单位开支的离退休经费。</w:t>
      </w:r>
    </w:p>
    <w:p>
      <w:pPr>
        <w:ind w:firstLine="640" w:firstLineChars="200"/>
        <w:rPr>
          <w:rFonts w:ascii="仿宋_GB2312" w:eastAsia="仿宋_GB2312"/>
          <w:sz w:val="32"/>
          <w:szCs w:val="32"/>
        </w:rPr>
      </w:pPr>
      <w:r>
        <w:rPr>
          <w:rFonts w:hint="eastAsia" w:ascii="仿宋_GB2312" w:eastAsia="仿宋_GB2312"/>
          <w:sz w:val="32"/>
          <w:szCs w:val="32"/>
        </w:rPr>
        <w:t>12.社会保障和就业（类）其他生活救助（款）其他城市生活救助（项）：指除最低生活保障、临时救助、特困人员救助供养外，用于城市生活困难居民生活救助的其他支出，包括用于除优抚对象、失业人员之外城市生活困难居民的价格临时补贴支出。</w:t>
      </w:r>
    </w:p>
    <w:p>
      <w:pPr>
        <w:ind w:firstLine="640" w:firstLineChars="200"/>
        <w:rPr>
          <w:rFonts w:ascii="仿宋_GB2312" w:eastAsia="仿宋_GB2312"/>
          <w:sz w:val="32"/>
          <w:szCs w:val="32"/>
        </w:rPr>
      </w:pPr>
      <w:r>
        <w:rPr>
          <w:rFonts w:hint="eastAsia" w:ascii="仿宋_GB2312" w:eastAsia="仿宋_GB2312"/>
          <w:sz w:val="32"/>
          <w:szCs w:val="32"/>
        </w:rPr>
        <w:t>13.卫生健康（类）行政事业单位医疗（款）事业单位医疗（项）：指</w:t>
      </w:r>
      <w:r>
        <w:rPr>
          <w:rStyle w:val="16"/>
          <w:rFonts w:hint="eastAsia" w:ascii="仿宋" w:hAnsi="仿宋" w:eastAsia="仿宋"/>
          <w:b w:val="0"/>
          <w:bCs/>
          <w:sz w:val="32"/>
          <w:szCs w:val="32"/>
        </w:rPr>
        <w:t>财政部门安排的事业单位基本医疗保险缴费经费，未参加医疗保险的事业单位的公费医疗经费，按国家规定享受离休人员待遇的医疗经费</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14.卫生健康（类）行政事业单位医疗（款）公务员医疗补助（项）：</w:t>
      </w:r>
      <w:r>
        <w:rPr>
          <w:rStyle w:val="16"/>
          <w:rFonts w:hint="eastAsia" w:ascii="仿宋" w:hAnsi="仿宋" w:eastAsia="仿宋"/>
          <w:b w:val="0"/>
          <w:bCs/>
          <w:sz w:val="32"/>
          <w:szCs w:val="32"/>
        </w:rPr>
        <w:t>财政部门安排的公务员医疗补助经费</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农林水（类）巩固脱贫衔接乡村振兴（款）社会发展（项）：指用于农村贫困地区中小学教育、文化、广播、电视、医疗、卫生等方面的项目支出。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住房保障（类）住房改革（款）住房公积金（项）：指</w:t>
      </w:r>
      <w:r>
        <w:rPr>
          <w:rStyle w:val="16"/>
          <w:rFonts w:hint="eastAsia" w:ascii="仿宋" w:hAnsi="仿宋" w:eastAsia="仿宋"/>
          <w:b w:val="0"/>
          <w:bCs/>
          <w:sz w:val="32"/>
          <w:szCs w:val="32"/>
        </w:rPr>
        <w:t>行政事业单位按人力资源和社会保障部、财政部规定的基本工资和津贴补贴以及规定比例为职工缴纳的住房公积金</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3" w:firstLineChars="200"/>
        <w:rPr>
          <w:rFonts w:ascii="仿宋" w:hAnsi="仿宋" w:eastAsia="仿宋"/>
          <w:b/>
          <w:color w:val="000000"/>
          <w:sz w:val="32"/>
          <w:szCs w:val="32"/>
          <w:highlight w:val="yellow"/>
        </w:rPr>
      </w:pPr>
      <w:bookmarkStart w:id="83" w:name="_Toc15377226"/>
    </w:p>
    <w:p>
      <w:pPr>
        <w:spacing w:line="600" w:lineRule="exact"/>
        <w:jc w:val="center"/>
        <w:outlineLvl w:val="0"/>
        <w:rPr>
          <w:rStyle w:val="27"/>
          <w:rFonts w:ascii="黑体" w:hAnsi="黑体" w:eastAsia="黑体"/>
          <w:b w:val="0"/>
        </w:rPr>
      </w:pPr>
      <w:r>
        <w:rPr>
          <w:rFonts w:ascii="宋体"/>
          <w:b/>
          <w:sz w:val="44"/>
          <w:szCs w:val="44"/>
        </w:rPr>
        <w:br w:type="page"/>
      </w:r>
      <w:bookmarkStart w:id="84" w:name="_Toc15396614"/>
      <w:bookmarkStart w:id="85" w:name="_Toc31382"/>
      <w:r>
        <w:rPr>
          <w:rFonts w:hint="eastAsia" w:ascii="黑体" w:hAnsi="黑体" w:eastAsia="黑体"/>
          <w:sz w:val="44"/>
          <w:szCs w:val="44"/>
        </w:rPr>
        <w:t>第</w:t>
      </w:r>
      <w:r>
        <w:rPr>
          <w:rStyle w:val="27"/>
          <w:rFonts w:hint="eastAsia" w:ascii="黑体" w:hAnsi="黑体" w:eastAsia="黑体"/>
          <w:b w:val="0"/>
        </w:rPr>
        <w:t>四部分 附件</w:t>
      </w:r>
      <w:bookmarkEnd w:id="84"/>
      <w:bookmarkEnd w:id="85"/>
    </w:p>
    <w:p>
      <w:pPr>
        <w:spacing w:line="572" w:lineRule="exact"/>
        <w:jc w:val="left"/>
        <w:outlineLvl w:val="0"/>
        <w:rPr>
          <w:rFonts w:ascii="方正小标宋简体" w:hAnsi="方正小标宋简体" w:eastAsia="方正小标宋简体" w:cs="方正小标宋简体"/>
          <w:sz w:val="44"/>
          <w:szCs w:val="44"/>
        </w:rPr>
      </w:pPr>
      <w:bookmarkStart w:id="86" w:name="_Toc22664"/>
      <w:r>
        <w:rPr>
          <w:rFonts w:hint="eastAsia" w:ascii="黑体" w:hAnsi="黑体" w:eastAsia="黑体" w:cs="黑体"/>
          <w:sz w:val="32"/>
          <w:szCs w:val="32"/>
        </w:rPr>
        <w:t>附件</w:t>
      </w:r>
      <w:bookmarkEnd w:id="86"/>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2022年部门整体绩效评价报告</w:t>
      </w:r>
    </w:p>
    <w:p>
      <w:pPr>
        <w:widowControl/>
        <w:spacing w:line="560" w:lineRule="exact"/>
        <w:contextualSpacing/>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（报告范围包括机关和下属单位）</w:t>
      </w:r>
    </w:p>
    <w:p>
      <w:pPr>
        <w:widowControl/>
        <w:spacing w:line="560" w:lineRule="exact"/>
        <w:contextualSpacing/>
        <w:jc w:val="center"/>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本单位无此项内容</w:t>
      </w:r>
    </w:p>
    <w:p>
      <w:pPr>
        <w:widowControl/>
        <w:spacing w:line="560" w:lineRule="exact"/>
        <w:contextualSpacing/>
        <w:jc w:val="center"/>
        <w:rPr>
          <w:rFonts w:hint="default" w:ascii="仿宋_GB2312" w:hAnsi="仿宋_GB2312" w:eastAsia="仿宋_GB2312" w:cs="仿宋_GB2312"/>
          <w:b/>
          <w:bCs/>
          <w:sz w:val="32"/>
          <w:szCs w:val="32"/>
          <w:shd w:val="clear" w:color="auto" w:fill="FFFFFF"/>
          <w:lang w:val="en-US" w:eastAsia="zh-CN"/>
        </w:rPr>
      </w:pPr>
    </w:p>
    <w:p>
      <w:pPr>
        <w:widowControl/>
        <w:spacing w:line="560" w:lineRule="exact"/>
        <w:contextualSpacing/>
        <w:jc w:val="center"/>
        <w:rPr>
          <w:rFonts w:hint="default" w:ascii="仿宋_GB2312" w:hAnsi="仿宋_GB2312" w:eastAsia="仿宋_GB2312" w:cs="仿宋_GB2312"/>
          <w:sz w:val="32"/>
          <w:szCs w:val="32"/>
          <w:shd w:val="clear" w:color="auto" w:fill="FFFFFF"/>
          <w:lang w:val="en-US" w:eastAsia="zh-CN"/>
        </w:rPr>
      </w:pPr>
    </w:p>
    <w:p>
      <w:pPr>
        <w:widowControl/>
        <w:spacing w:line="560" w:lineRule="exact"/>
        <w:contextualSpacing/>
        <w:jc w:val="center"/>
        <w:rPr>
          <w:rFonts w:hint="default" w:ascii="仿宋_GB2312" w:hAnsi="仿宋_GB2312" w:eastAsia="仿宋_GB2312" w:cs="仿宋_GB2312"/>
          <w:sz w:val="32"/>
          <w:szCs w:val="32"/>
          <w:shd w:val="clear" w:color="auto" w:fill="FFFFFF"/>
          <w:lang w:val="en-US" w:eastAsia="zh-CN"/>
        </w:rPr>
      </w:pPr>
    </w:p>
    <w:p>
      <w:pPr>
        <w:widowControl/>
        <w:spacing w:line="560" w:lineRule="exact"/>
        <w:contextualSpacing/>
        <w:jc w:val="center"/>
        <w:rPr>
          <w:rFonts w:hint="default" w:ascii="仿宋_GB2312" w:hAnsi="仿宋_GB2312" w:eastAsia="仿宋_GB2312" w:cs="仿宋_GB2312"/>
          <w:sz w:val="32"/>
          <w:szCs w:val="32"/>
          <w:shd w:val="clear" w:color="auto" w:fill="FFFFFF"/>
          <w:lang w:val="en-US" w:eastAsia="zh-CN"/>
        </w:rPr>
      </w:pPr>
    </w:p>
    <w:p>
      <w:pPr>
        <w:widowControl/>
        <w:spacing w:line="560" w:lineRule="exact"/>
        <w:contextualSpacing/>
        <w:jc w:val="center"/>
        <w:rPr>
          <w:rFonts w:hint="default" w:ascii="仿宋_GB2312" w:hAnsi="仿宋_GB2312" w:eastAsia="仿宋_GB2312" w:cs="仿宋_GB2312"/>
          <w:sz w:val="32"/>
          <w:szCs w:val="32"/>
          <w:shd w:val="clear" w:color="auto" w:fill="FFFFFF"/>
          <w:lang w:val="en-US" w:eastAsia="zh-CN"/>
        </w:rPr>
      </w:pPr>
    </w:p>
    <w:p>
      <w:pPr>
        <w:widowControl/>
        <w:spacing w:line="560" w:lineRule="exact"/>
        <w:contextualSpacing/>
        <w:jc w:val="center"/>
        <w:rPr>
          <w:rFonts w:hint="default" w:ascii="仿宋_GB2312" w:hAnsi="仿宋_GB2312" w:eastAsia="仿宋_GB2312" w:cs="仿宋_GB2312"/>
          <w:sz w:val="32"/>
          <w:szCs w:val="32"/>
          <w:shd w:val="clear" w:color="auto" w:fill="FFFFFF"/>
          <w:lang w:val="en-US" w:eastAsia="zh-CN"/>
        </w:rPr>
      </w:pPr>
    </w:p>
    <w:p>
      <w:pPr>
        <w:pStyle w:val="5"/>
        <w:spacing w:before="93"/>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33"/>
        <w:spacing w:line="578" w:lineRule="exact"/>
        <w:jc w:val="center"/>
        <w:rPr>
          <w:rFonts w:ascii="方正小标宋简体" w:hAnsi="方正小标宋简体" w:eastAsia="方正小标宋简体" w:cs="方正小标宋简体"/>
          <w:color w:val="auto"/>
          <w:kern w:val="2"/>
          <w:sz w:val="32"/>
          <w:szCs w:val="32"/>
          <w:highlight w:val="none"/>
          <w:lang w:val="en-US"/>
        </w:rPr>
      </w:pPr>
      <w:r>
        <w:rPr>
          <w:rFonts w:hint="eastAsia" w:ascii="方正小标宋简体" w:hAnsi="方正小标宋简体" w:eastAsia="方正小标宋简体" w:cs="方正小标宋简体"/>
          <w:color w:val="auto"/>
          <w:kern w:val="2"/>
          <w:sz w:val="32"/>
          <w:szCs w:val="32"/>
          <w:highlight w:val="none"/>
          <w:lang w:val="en-US"/>
        </w:rPr>
        <w:t>2022年</w:t>
      </w:r>
      <w:r>
        <w:rPr>
          <w:rFonts w:hint="eastAsia" w:ascii="方正小标宋简体" w:hAnsi="方正小标宋简体" w:eastAsia="方正小标宋简体" w:cs="方正小标宋简体"/>
          <w:color w:val="auto"/>
          <w:kern w:val="2"/>
          <w:sz w:val="32"/>
          <w:szCs w:val="32"/>
          <w:highlight w:val="none"/>
          <w:lang w:val="en-US" w:eastAsia="zh-CN"/>
        </w:rPr>
        <w:t>内江师范学院</w:t>
      </w:r>
      <w:r>
        <w:rPr>
          <w:rFonts w:hint="eastAsia" w:ascii="方正小标宋简体" w:hAnsi="方正小标宋简体" w:eastAsia="方正小标宋简体" w:cs="方正小标宋简体"/>
          <w:color w:val="auto"/>
          <w:kern w:val="2"/>
          <w:sz w:val="32"/>
          <w:szCs w:val="32"/>
          <w:highlight w:val="none"/>
          <w:lang w:val="en-US"/>
        </w:rPr>
        <w:t>专项资金预算项目绩效自评报告</w:t>
      </w:r>
    </w:p>
    <w:p>
      <w:pPr>
        <w:spacing w:line="600" w:lineRule="exact"/>
        <w:ind w:firstLine="640"/>
        <w:jc w:val="center"/>
        <w:rPr>
          <w:rFonts w:ascii="宋体" w:hAnsi="宋体"/>
          <w:color w:val="auto"/>
          <w:sz w:val="32"/>
          <w:szCs w:val="32"/>
          <w:highlight w:val="none"/>
        </w:rPr>
      </w:pPr>
      <w:r>
        <w:rPr>
          <w:rFonts w:hint="eastAsia" w:ascii="宋体" w:hAnsi="宋体"/>
          <w:b/>
          <w:bCs/>
          <w:color w:val="auto"/>
          <w:sz w:val="32"/>
          <w:szCs w:val="32"/>
          <w:highlight w:val="none"/>
        </w:rPr>
        <w:t>2022年无专项项目绩效自评</w:t>
      </w:r>
    </w:p>
    <w:p>
      <w:pPr>
        <w:widowControl/>
        <w:jc w:val="left"/>
        <w:rPr>
          <w:rStyle w:val="27"/>
          <w:rFonts w:ascii="黑体" w:hAnsi="黑体" w:eastAsia="黑体"/>
          <w:b w:val="0"/>
        </w:rPr>
      </w:pPr>
      <w:r>
        <w:rPr>
          <w:rStyle w:val="27"/>
          <w:rFonts w:ascii="黑体" w:hAnsi="黑体" w:eastAsia="黑体"/>
          <w:b w:val="0"/>
        </w:rPr>
        <w:br w:type="page"/>
      </w:r>
    </w:p>
    <w:p>
      <w:pPr>
        <w:spacing w:line="600" w:lineRule="exact"/>
        <w:jc w:val="center"/>
        <w:outlineLvl w:val="0"/>
        <w:rPr>
          <w:rFonts w:ascii="仿宋" w:hAnsi="仿宋" w:eastAsia="仿宋"/>
        </w:rPr>
      </w:pPr>
      <w:bookmarkStart w:id="87" w:name="_Toc10246"/>
      <w:bookmarkStart w:id="88" w:name="_Toc15396618"/>
      <w:r>
        <w:rPr>
          <w:rFonts w:hint="eastAsia" w:ascii="黑体" w:hAnsi="黑体" w:eastAsia="黑体"/>
          <w:sz w:val="44"/>
          <w:szCs w:val="44"/>
        </w:rPr>
        <w:t>第</w:t>
      </w:r>
      <w:r>
        <w:rPr>
          <w:rStyle w:val="27"/>
          <w:rFonts w:hint="eastAsia" w:ascii="黑体" w:hAnsi="黑体" w:eastAsia="黑体"/>
          <w:b w:val="0"/>
        </w:rPr>
        <w:t>五部分 附表</w:t>
      </w:r>
      <w:bookmarkEnd w:id="83"/>
      <w:bookmarkEnd w:id="87"/>
      <w:bookmarkEnd w:id="88"/>
      <w:bookmarkStart w:id="89" w:name="_Toc15396619"/>
    </w:p>
    <w:p>
      <w:pPr>
        <w:pStyle w:val="3"/>
        <w:rPr>
          <w:rFonts w:ascii="仿宋" w:hAnsi="仿宋" w:eastAsia="仿宋"/>
        </w:rPr>
      </w:pPr>
      <w:bookmarkStart w:id="90" w:name="_Toc31231"/>
      <w:r>
        <w:rPr>
          <w:rFonts w:hint="eastAsia" w:ascii="仿宋" w:hAnsi="仿宋" w:eastAsia="仿宋"/>
          <w:b w:val="0"/>
        </w:rPr>
        <w:t>一、收</w:t>
      </w:r>
      <w:r>
        <w:rPr>
          <w:rStyle w:val="28"/>
          <w:rFonts w:hint="eastAsia" w:ascii="仿宋" w:hAnsi="仿宋" w:eastAsia="仿宋"/>
          <w:b w:val="0"/>
          <w:bCs w:val="0"/>
        </w:rPr>
        <w:t>入支出决算总表</w:t>
      </w:r>
      <w:bookmarkEnd w:id="89"/>
      <w:bookmarkEnd w:id="90"/>
    </w:p>
    <w:p>
      <w:pPr>
        <w:pStyle w:val="3"/>
        <w:rPr>
          <w:rFonts w:ascii="仿宋" w:hAnsi="仿宋" w:eastAsia="仿宋"/>
        </w:rPr>
      </w:pPr>
      <w:bookmarkStart w:id="91" w:name="_Toc3434"/>
      <w:bookmarkStart w:id="92" w:name="_Toc15396620"/>
      <w:r>
        <w:rPr>
          <w:rFonts w:hint="eastAsia" w:ascii="仿宋" w:hAnsi="仿宋" w:eastAsia="仿宋"/>
          <w:b w:val="0"/>
        </w:rPr>
        <w:t>二、收</w:t>
      </w:r>
      <w:r>
        <w:rPr>
          <w:rStyle w:val="28"/>
          <w:rFonts w:hint="eastAsia" w:ascii="仿宋" w:hAnsi="仿宋" w:eastAsia="仿宋"/>
          <w:b w:val="0"/>
          <w:bCs w:val="0"/>
        </w:rPr>
        <w:t>入决算表</w:t>
      </w:r>
      <w:bookmarkEnd w:id="91"/>
      <w:bookmarkEnd w:id="92"/>
    </w:p>
    <w:p>
      <w:pPr>
        <w:pStyle w:val="3"/>
        <w:rPr>
          <w:rFonts w:ascii="仿宋" w:hAnsi="仿宋" w:eastAsia="仿宋"/>
        </w:rPr>
      </w:pPr>
      <w:bookmarkStart w:id="93" w:name="_Toc15396621"/>
      <w:bookmarkStart w:id="94" w:name="_Toc5908"/>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93"/>
      <w:bookmarkEnd w:id="94"/>
    </w:p>
    <w:p>
      <w:pPr>
        <w:pStyle w:val="3"/>
        <w:rPr>
          <w:rFonts w:ascii="仿宋" w:hAnsi="仿宋" w:eastAsia="仿宋"/>
          <w:b w:val="0"/>
        </w:rPr>
      </w:pPr>
      <w:bookmarkStart w:id="95" w:name="_Toc15396622"/>
      <w:bookmarkStart w:id="96" w:name="_Toc20101"/>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95"/>
      <w:bookmarkEnd w:id="96"/>
    </w:p>
    <w:p>
      <w:pPr>
        <w:pStyle w:val="3"/>
        <w:rPr>
          <w:rStyle w:val="28"/>
          <w:rFonts w:ascii="仿宋" w:hAnsi="仿宋" w:eastAsia="仿宋"/>
          <w:b w:val="0"/>
          <w:bCs w:val="0"/>
        </w:rPr>
      </w:pPr>
      <w:bookmarkStart w:id="97" w:name="_Toc15396623"/>
      <w:bookmarkStart w:id="98" w:name="_Toc2640"/>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97"/>
      <w:bookmarkEnd w:id="98"/>
      <w:bookmarkStart w:id="99" w:name="_Toc15396624"/>
    </w:p>
    <w:p>
      <w:pPr>
        <w:pStyle w:val="3"/>
        <w:rPr>
          <w:rFonts w:ascii="仿宋" w:hAnsi="仿宋" w:eastAsia="仿宋"/>
        </w:rPr>
      </w:pPr>
      <w:bookmarkStart w:id="100" w:name="_Toc21066"/>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99"/>
      <w:bookmarkEnd w:id="100"/>
    </w:p>
    <w:p>
      <w:pPr>
        <w:pStyle w:val="3"/>
        <w:rPr>
          <w:rFonts w:ascii="仿宋" w:hAnsi="仿宋" w:eastAsia="仿宋"/>
        </w:rPr>
      </w:pPr>
      <w:bookmarkStart w:id="101" w:name="_Toc25406"/>
      <w:bookmarkStart w:id="102"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101"/>
      <w:bookmarkEnd w:id="102"/>
    </w:p>
    <w:p>
      <w:pPr>
        <w:pStyle w:val="3"/>
        <w:rPr>
          <w:rFonts w:ascii="仿宋" w:hAnsi="仿宋" w:eastAsia="仿宋"/>
        </w:rPr>
      </w:pPr>
      <w:bookmarkStart w:id="103" w:name="_Toc9451"/>
      <w:bookmarkStart w:id="104"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103"/>
      <w:bookmarkEnd w:id="104"/>
    </w:p>
    <w:p>
      <w:pPr>
        <w:pStyle w:val="3"/>
        <w:rPr>
          <w:rFonts w:ascii="仿宋" w:hAnsi="仿宋" w:eastAsia="仿宋"/>
        </w:rPr>
      </w:pPr>
      <w:bookmarkStart w:id="105" w:name="_Toc15396627"/>
      <w:bookmarkStart w:id="106" w:name="_Toc13496"/>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105"/>
      <w:bookmarkEnd w:id="106"/>
    </w:p>
    <w:p>
      <w:pPr>
        <w:pStyle w:val="3"/>
        <w:rPr>
          <w:rFonts w:ascii="仿宋" w:hAnsi="仿宋" w:eastAsia="仿宋"/>
        </w:rPr>
      </w:pPr>
      <w:bookmarkStart w:id="107" w:name="_Toc15396628"/>
      <w:bookmarkStart w:id="108" w:name="_Toc12169"/>
      <w:r>
        <w:rPr>
          <w:rStyle w:val="28"/>
          <w:rFonts w:hint="eastAsia" w:ascii="仿宋" w:hAnsi="仿宋" w:eastAsia="仿宋"/>
          <w:b w:val="0"/>
          <w:bCs w:val="0"/>
        </w:rPr>
        <w:t>十、</w:t>
      </w:r>
      <w:bookmarkEnd w:id="107"/>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108"/>
    </w:p>
    <w:p>
      <w:pPr>
        <w:pStyle w:val="3"/>
        <w:rPr>
          <w:rFonts w:ascii="仿宋" w:hAnsi="仿宋" w:eastAsia="仿宋"/>
        </w:rPr>
      </w:pPr>
      <w:bookmarkStart w:id="109" w:name="_Toc15396629"/>
      <w:bookmarkStart w:id="110" w:name="_Toc1628"/>
      <w:r>
        <w:rPr>
          <w:rStyle w:val="28"/>
          <w:rFonts w:hint="eastAsia" w:ascii="仿宋" w:hAnsi="仿宋" w:eastAsia="仿宋"/>
          <w:b w:val="0"/>
          <w:bCs w:val="0"/>
        </w:rPr>
        <w:t>十一、</w:t>
      </w:r>
      <w:bookmarkEnd w:id="109"/>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10"/>
    </w:p>
    <w:p>
      <w:pPr>
        <w:pStyle w:val="3"/>
        <w:rPr>
          <w:rFonts w:ascii="仿宋" w:hAnsi="仿宋" w:eastAsia="仿宋"/>
        </w:rPr>
      </w:pPr>
      <w:bookmarkStart w:id="111" w:name="_Toc15396630"/>
      <w:bookmarkStart w:id="112" w:name="_Toc6719"/>
      <w:r>
        <w:rPr>
          <w:rStyle w:val="28"/>
          <w:rFonts w:hint="eastAsia" w:ascii="仿宋" w:hAnsi="仿宋" w:eastAsia="仿宋"/>
          <w:b w:val="0"/>
          <w:bCs w:val="0"/>
        </w:rPr>
        <w:t>十二、</w:t>
      </w:r>
      <w:bookmarkEnd w:id="111"/>
      <w:r>
        <w:rPr>
          <w:rStyle w:val="28"/>
          <w:rFonts w:hint="eastAsia" w:ascii="仿宋" w:hAnsi="仿宋" w:eastAsia="仿宋"/>
          <w:b w:val="0"/>
          <w:bCs w:val="0"/>
        </w:rPr>
        <w:t>国有资本经营预算财政拨款支出决算表</w:t>
      </w:r>
      <w:bookmarkEnd w:id="112"/>
    </w:p>
    <w:p>
      <w:pPr>
        <w:pStyle w:val="3"/>
        <w:rPr>
          <w:rFonts w:eastAsia="仿宋"/>
        </w:rPr>
      </w:pPr>
      <w:bookmarkStart w:id="113" w:name="_Toc15396631"/>
      <w:bookmarkStart w:id="114" w:name="_Toc2795"/>
      <w:r>
        <w:rPr>
          <w:rStyle w:val="28"/>
          <w:rFonts w:hint="eastAsia" w:ascii="仿宋" w:hAnsi="仿宋" w:eastAsia="仿宋"/>
          <w:b w:val="0"/>
          <w:bCs w:val="0"/>
        </w:rPr>
        <w:t>十三、</w:t>
      </w:r>
      <w:bookmarkEnd w:id="113"/>
      <w:r>
        <w:rPr>
          <w:rStyle w:val="28"/>
          <w:rFonts w:hint="eastAsia" w:ascii="仿宋" w:hAnsi="仿宋" w:eastAsia="仿宋"/>
          <w:b w:val="0"/>
          <w:bCs w:val="0"/>
        </w:rPr>
        <w:t>财政拨款“三公”经费支出决算表</w:t>
      </w:r>
      <w:bookmarkEnd w:id="11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方正舒体"/>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13</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286BC"/>
    <w:multiLevelType w:val="singleLevel"/>
    <w:tmpl w:val="BCA286BC"/>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AB8735A"/>
    <w:multiLevelType w:val="singleLevel"/>
    <w:tmpl w:val="DAB8735A"/>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N2I0MmE4NWY1OTNmOGFmMjA5ODI4ZTIxOTViNmIifQ=="/>
  </w:docVars>
  <w:rsids>
    <w:rsidRoot w:val="00F1361C"/>
    <w:rsid w:val="000222C6"/>
    <w:rsid w:val="00023651"/>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391"/>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B781F"/>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0508"/>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67D3"/>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2FB5"/>
    <w:rsid w:val="00F841AA"/>
    <w:rsid w:val="00F84A94"/>
    <w:rsid w:val="00F87E96"/>
    <w:rsid w:val="00FA23E8"/>
    <w:rsid w:val="00FD3CC1"/>
    <w:rsid w:val="00FF1E02"/>
    <w:rsid w:val="00FF30B4"/>
    <w:rsid w:val="015975B8"/>
    <w:rsid w:val="02143E91"/>
    <w:rsid w:val="039D1299"/>
    <w:rsid w:val="03B96B85"/>
    <w:rsid w:val="066E0107"/>
    <w:rsid w:val="06B65CDB"/>
    <w:rsid w:val="07854B6B"/>
    <w:rsid w:val="078E49C3"/>
    <w:rsid w:val="07996F6E"/>
    <w:rsid w:val="08251EAA"/>
    <w:rsid w:val="084C79B6"/>
    <w:rsid w:val="09AA42AB"/>
    <w:rsid w:val="0A2032A3"/>
    <w:rsid w:val="0C106788"/>
    <w:rsid w:val="0D4C17E5"/>
    <w:rsid w:val="0EDD34DE"/>
    <w:rsid w:val="0F2A57D8"/>
    <w:rsid w:val="0F8A6A96"/>
    <w:rsid w:val="0F98263C"/>
    <w:rsid w:val="101860EC"/>
    <w:rsid w:val="10394744"/>
    <w:rsid w:val="10643AA9"/>
    <w:rsid w:val="10C055FF"/>
    <w:rsid w:val="118107EC"/>
    <w:rsid w:val="124A70DD"/>
    <w:rsid w:val="13D50BC4"/>
    <w:rsid w:val="14084F95"/>
    <w:rsid w:val="16BB723D"/>
    <w:rsid w:val="170A4468"/>
    <w:rsid w:val="17544209"/>
    <w:rsid w:val="17654405"/>
    <w:rsid w:val="18241C7C"/>
    <w:rsid w:val="19903568"/>
    <w:rsid w:val="19EE2A43"/>
    <w:rsid w:val="1A1B2DFF"/>
    <w:rsid w:val="1ADC7F5A"/>
    <w:rsid w:val="1B3426D8"/>
    <w:rsid w:val="1BE8440E"/>
    <w:rsid w:val="1C0425E7"/>
    <w:rsid w:val="1D155CEE"/>
    <w:rsid w:val="1D7A1277"/>
    <w:rsid w:val="1D8B5F40"/>
    <w:rsid w:val="1E1506D8"/>
    <w:rsid w:val="1E393902"/>
    <w:rsid w:val="1FF35744"/>
    <w:rsid w:val="20791A2A"/>
    <w:rsid w:val="20ED0F68"/>
    <w:rsid w:val="22B268C0"/>
    <w:rsid w:val="22C76BC0"/>
    <w:rsid w:val="23481AEC"/>
    <w:rsid w:val="23860B96"/>
    <w:rsid w:val="240371BF"/>
    <w:rsid w:val="24AF2DCF"/>
    <w:rsid w:val="26B877A0"/>
    <w:rsid w:val="26D27249"/>
    <w:rsid w:val="27772BA6"/>
    <w:rsid w:val="295A017B"/>
    <w:rsid w:val="29FD04D3"/>
    <w:rsid w:val="2C8A61B5"/>
    <w:rsid w:val="2CF256CF"/>
    <w:rsid w:val="2DF04E50"/>
    <w:rsid w:val="2EAE2349"/>
    <w:rsid w:val="2F040D46"/>
    <w:rsid w:val="2F6649D2"/>
    <w:rsid w:val="2F816A1B"/>
    <w:rsid w:val="30506AD9"/>
    <w:rsid w:val="31376626"/>
    <w:rsid w:val="31607481"/>
    <w:rsid w:val="319F7F4E"/>
    <w:rsid w:val="31B77767"/>
    <w:rsid w:val="3304709D"/>
    <w:rsid w:val="33880521"/>
    <w:rsid w:val="33CA73CE"/>
    <w:rsid w:val="34DE0044"/>
    <w:rsid w:val="36AA5135"/>
    <w:rsid w:val="36AE0B84"/>
    <w:rsid w:val="36E23C5C"/>
    <w:rsid w:val="376D39B2"/>
    <w:rsid w:val="37E16F03"/>
    <w:rsid w:val="384358B1"/>
    <w:rsid w:val="38D469F0"/>
    <w:rsid w:val="39CA35A5"/>
    <w:rsid w:val="39FC040D"/>
    <w:rsid w:val="3A2806D9"/>
    <w:rsid w:val="3BAA2C3A"/>
    <w:rsid w:val="3BE36505"/>
    <w:rsid w:val="3D98207C"/>
    <w:rsid w:val="3DD1570D"/>
    <w:rsid w:val="3E78745D"/>
    <w:rsid w:val="40300D5B"/>
    <w:rsid w:val="40905D53"/>
    <w:rsid w:val="411C75E7"/>
    <w:rsid w:val="4252760F"/>
    <w:rsid w:val="42616067"/>
    <w:rsid w:val="43900D13"/>
    <w:rsid w:val="43AC04C0"/>
    <w:rsid w:val="44E268DA"/>
    <w:rsid w:val="44F102B9"/>
    <w:rsid w:val="454861CA"/>
    <w:rsid w:val="473637F3"/>
    <w:rsid w:val="48A37BE9"/>
    <w:rsid w:val="49D62A28"/>
    <w:rsid w:val="49DE368B"/>
    <w:rsid w:val="4A2719F3"/>
    <w:rsid w:val="4A627F82"/>
    <w:rsid w:val="4B0E749A"/>
    <w:rsid w:val="4B4F25DA"/>
    <w:rsid w:val="4BDB63CC"/>
    <w:rsid w:val="4BE068DB"/>
    <w:rsid w:val="4CBB1346"/>
    <w:rsid w:val="4CFE3EC9"/>
    <w:rsid w:val="4D577224"/>
    <w:rsid w:val="4EAB630A"/>
    <w:rsid w:val="4ECE2238"/>
    <w:rsid w:val="50295291"/>
    <w:rsid w:val="51E437ED"/>
    <w:rsid w:val="537E6D0A"/>
    <w:rsid w:val="54623903"/>
    <w:rsid w:val="54E42C28"/>
    <w:rsid w:val="56554CD5"/>
    <w:rsid w:val="56BD008F"/>
    <w:rsid w:val="58204349"/>
    <w:rsid w:val="58511B64"/>
    <w:rsid w:val="589A2E73"/>
    <w:rsid w:val="59592D2E"/>
    <w:rsid w:val="59B43B30"/>
    <w:rsid w:val="5A49645E"/>
    <w:rsid w:val="5ACD39D4"/>
    <w:rsid w:val="5AF92295"/>
    <w:rsid w:val="5B9A15AA"/>
    <w:rsid w:val="5CD71FC4"/>
    <w:rsid w:val="5DDC5CDC"/>
    <w:rsid w:val="5E08087F"/>
    <w:rsid w:val="5E12626F"/>
    <w:rsid w:val="5E2E6D86"/>
    <w:rsid w:val="5FCD1D83"/>
    <w:rsid w:val="6073534F"/>
    <w:rsid w:val="60994D8C"/>
    <w:rsid w:val="62195750"/>
    <w:rsid w:val="629923ED"/>
    <w:rsid w:val="6346759F"/>
    <w:rsid w:val="653F5055"/>
    <w:rsid w:val="65B25CA0"/>
    <w:rsid w:val="67065C98"/>
    <w:rsid w:val="67CD3790"/>
    <w:rsid w:val="68FB5BB0"/>
    <w:rsid w:val="68FD5F7E"/>
    <w:rsid w:val="69465412"/>
    <w:rsid w:val="69643755"/>
    <w:rsid w:val="69C02956"/>
    <w:rsid w:val="6A7322AD"/>
    <w:rsid w:val="6B5D66AE"/>
    <w:rsid w:val="6BC64B2B"/>
    <w:rsid w:val="6C4A05C8"/>
    <w:rsid w:val="6C922387"/>
    <w:rsid w:val="6D013069"/>
    <w:rsid w:val="6D8071CB"/>
    <w:rsid w:val="6DC5678C"/>
    <w:rsid w:val="6E185A80"/>
    <w:rsid w:val="6E1D3ED3"/>
    <w:rsid w:val="6E7E3605"/>
    <w:rsid w:val="6FF5CC65"/>
    <w:rsid w:val="6FFD045F"/>
    <w:rsid w:val="715C0E4B"/>
    <w:rsid w:val="72734D90"/>
    <w:rsid w:val="73AD73D5"/>
    <w:rsid w:val="73B6EB34"/>
    <w:rsid w:val="744731E5"/>
    <w:rsid w:val="756774F9"/>
    <w:rsid w:val="75D91027"/>
    <w:rsid w:val="75F72804"/>
    <w:rsid w:val="76E3355F"/>
    <w:rsid w:val="778769C8"/>
    <w:rsid w:val="788A2F6A"/>
    <w:rsid w:val="79240B36"/>
    <w:rsid w:val="79294073"/>
    <w:rsid w:val="79D04D81"/>
    <w:rsid w:val="79EE5BA4"/>
    <w:rsid w:val="7A894339"/>
    <w:rsid w:val="7A996FD7"/>
    <w:rsid w:val="7B5A49B8"/>
    <w:rsid w:val="7B5C374F"/>
    <w:rsid w:val="7C295A0E"/>
    <w:rsid w:val="7C817D22"/>
    <w:rsid w:val="7C947033"/>
    <w:rsid w:val="7CC12815"/>
    <w:rsid w:val="7CCD42E3"/>
    <w:rsid w:val="7D1E3902"/>
    <w:rsid w:val="7EEF11D3"/>
    <w:rsid w:val="7FA30C79"/>
    <w:rsid w:val="7FB7269E"/>
    <w:rsid w:val="7FC96657"/>
    <w:rsid w:val="7FF802FC"/>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2"/>
    <w:qFormat/>
    <w:uiPriority w:val="9"/>
    <w:rPr>
      <w:rFonts w:ascii="Times New Roman" w:hAnsi="Times New Roman"/>
      <w:b/>
      <w:bCs/>
      <w:kern w:val="44"/>
      <w:sz w:val="44"/>
      <w:szCs w:val="44"/>
    </w:rPr>
  </w:style>
  <w:style w:type="character" w:customStyle="1" w:styleId="28">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4"/>
    <w:qFormat/>
    <w:uiPriority w:val="9"/>
    <w:rPr>
      <w:rFonts w:ascii="Times New Roman" w:hAnsi="Times New Roman"/>
      <w:b/>
      <w:bCs/>
      <w:kern w:val="2"/>
      <w:sz w:val="32"/>
      <w:szCs w:val="32"/>
    </w:rPr>
  </w:style>
  <w:style w:type="paragraph" w:customStyle="1" w:styleId="32">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color w:val="000000"/>
      <w:kern w:val="0"/>
      <w:sz w:val="28"/>
      <w:szCs w:val="21"/>
      <w:lang w:val="zh-CN"/>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946462715105"/>
          <c:y val="0.109277319117219"/>
          <c:w val="0.721600000000002"/>
          <c:h val="0.79942693409742"/>
        </c:manualLayout>
      </c:layout>
      <c:barChart>
        <c:barDir val="col"/>
        <c:grouping val="clustered"/>
        <c:varyColors val="0"/>
        <c:ser>
          <c:idx val="0"/>
          <c:order val="0"/>
          <c:tx>
            <c:strRef>
              <c:f>Sheet1!$A$3</c:f>
              <c:strCache>
                <c:ptCount val="1"/>
                <c:pt idx="0">
                  <c:v>2022</c:v>
                </c:pt>
              </c:strCache>
            </c:strRef>
          </c:tx>
          <c:spPr>
            <a:solidFill>
              <a:schemeClr val="accent1"/>
            </a:solidFill>
            <a:ln>
              <a:noFill/>
            </a:ln>
            <a:effectLst/>
          </c:spPr>
          <c:invertIfNegative val="0"/>
          <c:dLbls>
            <c:spPr>
              <a:noFill/>
              <a:ln>
                <a:noFill/>
              </a:ln>
              <a:effectLst/>
            </c:spPr>
            <c:txPr>
              <a:bodyPr rot="-540000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财政拨款</c:v>
                </c:pt>
              </c:strCache>
            </c:strRef>
          </c:cat>
          <c:val>
            <c:numRef>
              <c:f>Sheet1!$B$3:$B$3</c:f>
              <c:numCache>
                <c:formatCode>General</c:formatCode>
                <c:ptCount val="1"/>
                <c:pt idx="0">
                  <c:v>3271.37</c:v>
                </c:pt>
              </c:numCache>
            </c:numRef>
          </c:val>
        </c:ser>
        <c:ser>
          <c:idx val="1"/>
          <c:order val="1"/>
          <c:tx>
            <c:strRef>
              <c:f>Sheet1!$A$2</c:f>
              <c:strCache>
                <c:ptCount val="1"/>
                <c:pt idx="0">
                  <c:v>2021</c:v>
                </c:pt>
              </c:strCache>
            </c:strRef>
          </c:tx>
          <c:spPr>
            <a:solidFill>
              <a:schemeClr val="accent2"/>
            </a:solidFill>
            <a:ln>
              <a:noFill/>
            </a:ln>
            <a:effectLst/>
          </c:spPr>
          <c:invertIfNegative val="0"/>
          <c:dLbls>
            <c:dLbl>
              <c:idx val="0"/>
              <c:layout>
                <c:manualLayout>
                  <c:x val="0.00408605712048903"/>
                  <c:y val="0.00456686706663253"/>
                </c:manualLayout>
              </c:layout>
              <c:numFmt formatCode="General" sourceLinked="1"/>
              <c:spPr>
                <a:noFill/>
                <a:ln>
                  <a:noFill/>
                </a:ln>
                <a:effectLst/>
              </c:spPr>
              <c:txPr>
                <a:bodyPr rot="-5400000" spcFirstLastPara="1" vertOverflow="clip"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33460803059273"/>
                      <c:h val="0.135125046659201"/>
                    </c:manualLayout>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财政拨款</c:v>
                </c:pt>
              </c:strCache>
            </c:strRef>
          </c:cat>
          <c:val>
            <c:numRef>
              <c:f>Sheet1!$B$2:$B$2</c:f>
              <c:numCache>
                <c:formatCode>#,##0.00</c:formatCode>
                <c:ptCount val="1"/>
                <c:pt idx="0">
                  <c:v>1539.72</c:v>
                </c:pt>
              </c:numCache>
            </c:numRef>
          </c:val>
        </c:ser>
        <c:dLbls>
          <c:showLegendKey val="0"/>
          <c:showVal val="1"/>
          <c:showCatName val="0"/>
          <c:showSerName val="0"/>
          <c:showPercent val="0"/>
          <c:showBubbleSize val="0"/>
        </c:dLbls>
        <c:gapWidth val="444"/>
        <c:overlap val="-90"/>
        <c:axId val="198013312"/>
        <c:axId val="231723008"/>
      </c:barChart>
      <c:catAx>
        <c:axId val="19801331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in"/>
        <c:minorTickMark val="none"/>
        <c:tickLblPos val="low"/>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31723008"/>
        <c:crosses val="autoZero"/>
        <c:auto val="1"/>
        <c:lblAlgn val="ctr"/>
        <c:lblOffset val="100"/>
        <c:tickLblSkip val="1"/>
        <c:noMultiLvlLbl val="0"/>
      </c:catAx>
      <c:valAx>
        <c:axId val="231723008"/>
        <c:scaling>
          <c:orientation val="minMax"/>
        </c:scaling>
        <c:delete val="1"/>
        <c:axPos val="l"/>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8013312"/>
        <c:crosses val="autoZero"/>
        <c:crossBetween val="between"/>
      </c:valAx>
      <c:spPr>
        <a:noFill/>
        <a:ln>
          <a:noFill/>
        </a:ln>
        <a:effectLst/>
      </c:spPr>
    </c:plotArea>
    <c:legend>
      <c:legendPos val="t"/>
      <c:layout>
        <c:manualLayout>
          <c:xMode val="edge"/>
          <c:yMode val="edge"/>
          <c:x val="0.464499681325685"/>
          <c:y val="0.0501978239366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r>
              <a:rPr lang="zh-CN" altLang="en-US"/>
              <a:t>本年收入合计</a:t>
            </a:r>
            <a:endParaRPr lang="zh-CN" altLang="en-US"/>
          </a:p>
        </c:rich>
      </c:tx>
      <c:layout/>
      <c:overlay val="0"/>
      <c:spPr>
        <a:noFill/>
        <a:ln>
          <a:noFill/>
        </a:ln>
        <a:effectLst/>
      </c:spPr>
    </c:title>
    <c:autoTitleDeleted val="0"/>
    <c:plotArea>
      <c:layout>
        <c:manualLayout>
          <c:layoutTarget val="inner"/>
          <c:xMode val="edge"/>
          <c:yMode val="edge"/>
          <c:x val="0.298067413404152"/>
          <c:y val="0.199134199134199"/>
          <c:w val="0.411575273422998"/>
          <c:h val="0.693263804713804"/>
        </c:manualLayout>
      </c:layout>
      <c:pieChart>
        <c:varyColors val="1"/>
        <c:ser>
          <c:idx val="0"/>
          <c:order val="0"/>
          <c:tx>
            <c:strRef>
              <c:f>Sheet1!$B$1</c:f>
              <c:strCache>
                <c:ptCount val="1"/>
                <c:pt idx="0">
                  <c:v>2022年本年收入</c:v>
                </c:pt>
              </c:strCache>
            </c:strRef>
          </c:tx>
          <c:spPr>
            <a:solidFill>
              <a:srgbClr val="63B1EF">
                <a:alpha val="67000"/>
              </a:srgbClr>
            </a:solidFill>
            <a:ln w="19050" cap="rnd">
              <a:noFill/>
              <a:round/>
            </a:ln>
            <a:effectLst/>
          </c:spPr>
          <c:explosion val="0"/>
          <c:dPt>
            <c:idx val="0"/>
            <c:bubble3D val="0"/>
            <c:spPr>
              <a:solidFill>
                <a:srgbClr val="63B1EF">
                  <a:alpha val="67000"/>
                </a:srgbClr>
              </a:solidFill>
              <a:ln w="19050" cap="rnd">
                <a:noFill/>
                <a:round/>
              </a:ln>
              <a:effectLst/>
            </c:spPr>
          </c:dPt>
          <c:dLbls>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3271.37</c:v>
                </c:pt>
              </c:numCache>
            </c:numRef>
          </c:val>
        </c:ser>
        <c:dLbls>
          <c:showLegendKey val="0"/>
          <c:showVal val="0"/>
          <c:showCatName val="1"/>
          <c:showSerName val="0"/>
          <c:showPercent val="1"/>
          <c:showBubbleSize val="0"/>
          <c:showLeaderLines val="1"/>
        </c:dLbls>
        <c:firstSliceAng val="0"/>
      </c:pieChart>
      <c:spPr>
        <a:pattFill prst="lgGrid">
          <a:fgClr>
            <a:srgbClr val="F8F8F8"/>
          </a:fgClr>
          <a:bgClr>
            <a:schemeClr val="bg1"/>
          </a:bgClr>
        </a:pattFill>
        <a:ln>
          <a:solidFill>
            <a:schemeClr val="bg1">
              <a:lumMod val="9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cs typeface="微软雅黑" panose="020B0503020204020204" pitchFamily="34" charset="-122"/>
          <a:sym typeface="微软雅黑" panose="020B0503020204020204" pitchFamily="3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mn-lt"/>
                <a:ea typeface="+mn-ea"/>
                <a:cs typeface="+mn-cs"/>
              </a:defRPr>
            </a:pPr>
            <a:r>
              <a:rPr lang="zh-CN" altLang="en-US"/>
              <a:t>本年支出合计</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本年支出</c:v>
                </c:pt>
              </c:strCache>
            </c:strRef>
          </c:tx>
          <c:spPr>
            <a:ln w="15875">
              <a:solidFill>
                <a:schemeClr val="bg1"/>
              </a:solidFill>
            </a:ln>
            <a:effectLst>
              <a:outerShdw blurRad="50800" dist="38100" dir="2700000" algn="tl" rotWithShape="0">
                <a:prstClr val="black">
                  <a:alpha val="40000"/>
                </a:prstClr>
              </a:outerShdw>
            </a:effectLst>
            <a:sp3d contourW="15875"/>
          </c:spPr>
          <c:explosion val="0"/>
          <c:dPt>
            <c:idx val="0"/>
            <c:bubble3D val="0"/>
            <c:spPr>
              <a:gradFill>
                <a:gsLst>
                  <a:gs pos="0">
                    <a:schemeClr val="accent6">
                      <a:lumMod val="60000"/>
                      <a:lumOff val="40000"/>
                    </a:schemeClr>
                  </a:gs>
                  <a:gs pos="83000">
                    <a:schemeClr val="accent6"/>
                  </a:gs>
                </a:gsLst>
                <a:lin ang="2700000"/>
              </a:gradFill>
              <a:ln w="15875">
                <a:solidFill>
                  <a:schemeClr val="bg1"/>
                </a:solidFill>
              </a:ln>
              <a:effectLst>
                <a:outerShdw blurRad="50800" dist="38100" dir="2700000" algn="tl" rotWithShape="0">
                  <a:schemeClr val="accent6">
                    <a:lumMod val="50000"/>
                    <a:alpha val="40000"/>
                  </a:schemeClr>
                </a:outerShdw>
              </a:effectLst>
              <a:sp3d contourW="15875"/>
            </c:spPr>
          </c:dPt>
          <c:dPt>
            <c:idx val="1"/>
            <c:bubble3D val="0"/>
            <c:spPr>
              <a:gradFill>
                <a:gsLst>
                  <a:gs pos="0">
                    <a:schemeClr val="accent3">
                      <a:lumMod val="60000"/>
                      <a:lumOff val="40000"/>
                    </a:schemeClr>
                  </a:gs>
                  <a:gs pos="83000">
                    <a:schemeClr val="accent3"/>
                  </a:gs>
                </a:gsLst>
                <a:lin ang="2700000"/>
              </a:gradFill>
              <a:ln w="15875">
                <a:solidFill>
                  <a:schemeClr val="bg1"/>
                </a:solidFill>
              </a:ln>
              <a:effectLst>
                <a:outerShdw blurRad="50800" dist="38100" dir="2700000" algn="tl" rotWithShape="0">
                  <a:schemeClr val="accent2">
                    <a:lumMod val="50000"/>
                    <a:alpha val="40000"/>
                  </a:schemeClr>
                </a:outerShdw>
              </a:effectLst>
              <a:sp3d contourW="15875"/>
            </c:spPr>
          </c:dPt>
          <c:dLbls>
            <c:dLbl>
              <c:idx val="0"/>
              <c:layout>
                <c:manualLayout>
                  <c:x val="-0.132828344623028"/>
                  <c:y val="-0.0524488425867927"/>
                </c:manualLayout>
              </c:layout>
              <c:tx>
                <c:rich>
                  <a:bodyPr rot="0" spcFirstLastPara="0" vertOverflow="ellipsis" vert="horz" wrap="square" lIns="38100" tIns="19050" rIns="38100" bIns="19050" anchor="ctr" anchorCtr="1"/>
                  <a:lstStyle/>
                  <a:p>
                    <a:pPr>
                      <a:defRPr lang="zh-CN" sz="900" b="0" i="0" u="none" strike="noStrike" kern="1200" baseline="0">
                        <a:solidFill>
                          <a:schemeClr val="bg1"/>
                        </a:solidFill>
                        <a:effectLst/>
                        <a:latin typeface="+mn-lt"/>
                        <a:ea typeface="+mn-ea"/>
                        <a:cs typeface="+mn-cs"/>
                      </a:defRPr>
                    </a:pPr>
                    <a:r>
                      <a:rPr lang="en-US" altLang="zh-CN"/>
                      <a:t>38.86%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bg1"/>
                        </a:solidFill>
                        <a:effectLst/>
                        <a:latin typeface="+mn-lt"/>
                        <a:ea typeface="+mn-ea"/>
                        <a:cs typeface="+mn-cs"/>
                      </a:defRPr>
                    </a:pPr>
                    <a:r>
                      <a:rPr lang="en-US" altLang="zh-CN"/>
                      <a:t>61.14%</a:t>
                    </a:r>
                    <a:endParaRPr lang="en-US" altLang="zh-CN"/>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effectLst/>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1271.37</c:v>
                </c:pt>
                <c:pt idx="1">
                  <c:v>2000</c:v>
                </c:pt>
              </c:numCache>
            </c:numRef>
          </c:val>
        </c:ser>
        <c:dLbls>
          <c:showLegendKey val="0"/>
          <c:showVal val="1"/>
          <c:showCatName val="0"/>
          <c:showSerName val="0"/>
          <c:showPercent val="0"/>
          <c:showBubbleSize val="0"/>
          <c:showLeaderLines val="1"/>
        </c:dLbls>
        <c:firstSliceAng val="36"/>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280433397068"/>
          <c:y val="0.109277319117219"/>
          <c:w val="0.721600000000002"/>
          <c:h val="0.79942693409742"/>
        </c:manualLayout>
      </c:layout>
      <c:barChart>
        <c:barDir val="col"/>
        <c:grouping val="clustered"/>
        <c:varyColors val="0"/>
        <c:ser>
          <c:idx val="0"/>
          <c:order val="0"/>
          <c:tx>
            <c:strRef>
              <c:f>Sheet1!$A$3</c:f>
              <c:strCache>
                <c:ptCount val="1"/>
                <c:pt idx="0">
                  <c:v>2022</c:v>
                </c:pt>
              </c:strCache>
            </c:strRef>
          </c:tx>
          <c:spPr>
            <a:solidFill>
              <a:schemeClr val="accent1"/>
            </a:solidFill>
            <a:ln>
              <a:noFill/>
            </a:ln>
            <a:effectLst/>
          </c:spPr>
          <c:invertIfNegative val="0"/>
          <c:dLbls>
            <c:dLbl>
              <c:idx val="0"/>
              <c:layout>
                <c:manualLayout>
                  <c:x val="-0.00191204588910128"/>
                  <c:y val="-0.0289951080549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财政拨款</c:v>
                </c:pt>
              </c:strCache>
            </c:strRef>
          </c:cat>
          <c:val>
            <c:numRef>
              <c:f>Sheet1!$B$3:$B$3</c:f>
              <c:numCache>
                <c:formatCode>General</c:formatCode>
                <c:ptCount val="1"/>
                <c:pt idx="0">
                  <c:v>3271.37</c:v>
                </c:pt>
              </c:numCache>
            </c:numRef>
          </c:val>
        </c:ser>
        <c:ser>
          <c:idx val="1"/>
          <c:order val="1"/>
          <c:tx>
            <c:strRef>
              <c:f>Sheet1!$A$2</c:f>
              <c:strCache>
                <c:ptCount val="1"/>
                <c:pt idx="0">
                  <c:v>2021</c:v>
                </c:pt>
              </c:strCache>
            </c:strRef>
          </c:tx>
          <c:spPr>
            <a:solidFill>
              <a:schemeClr val="accent2"/>
            </a:solidFill>
            <a:ln>
              <a:noFill/>
            </a:ln>
            <a:effectLst/>
          </c:spPr>
          <c:invertIfNegative val="0"/>
          <c:dLbls>
            <c:dLbl>
              <c:idx val="0"/>
              <c:layout>
                <c:manualLayout>
                  <c:x val="0.00408605712048903"/>
                  <c:y val="0.00456686706663253"/>
                </c:manualLayout>
              </c:layout>
              <c:numFmt formatCode="General" sourceLinked="1"/>
              <c:spPr>
                <a:noFill/>
                <a:ln>
                  <a:noFill/>
                </a:ln>
                <a:effectLst/>
              </c:spPr>
              <c:txPr>
                <a:bodyPr rot="-5400000" spcFirstLastPara="1" vertOverflow="clip"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33460803059273"/>
                      <c:h val="0.135125046659201"/>
                    </c:manualLayout>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财政拨款</c:v>
                </c:pt>
              </c:strCache>
            </c:strRef>
          </c:cat>
          <c:val>
            <c:numRef>
              <c:f>Sheet1!$B$2:$B$2</c:f>
              <c:numCache>
                <c:formatCode>#,##0.00</c:formatCode>
                <c:ptCount val="1"/>
                <c:pt idx="0">
                  <c:v>1539.72</c:v>
                </c:pt>
              </c:numCache>
            </c:numRef>
          </c:val>
        </c:ser>
        <c:dLbls>
          <c:showLegendKey val="0"/>
          <c:showVal val="1"/>
          <c:showCatName val="0"/>
          <c:showSerName val="0"/>
          <c:showPercent val="0"/>
          <c:showBubbleSize val="0"/>
        </c:dLbls>
        <c:gapWidth val="444"/>
        <c:overlap val="-90"/>
        <c:axId val="230114432"/>
        <c:axId val="230115968"/>
      </c:barChart>
      <c:catAx>
        <c:axId val="23011443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in"/>
        <c:minorTickMark val="none"/>
        <c:tickLblPos val="low"/>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30115968"/>
        <c:crosses val="autoZero"/>
        <c:auto val="1"/>
        <c:lblAlgn val="ctr"/>
        <c:lblOffset val="100"/>
        <c:tickLblSkip val="1"/>
        <c:noMultiLvlLbl val="0"/>
      </c:catAx>
      <c:valAx>
        <c:axId val="230115968"/>
        <c:scaling>
          <c:orientation val="minMax"/>
        </c:scaling>
        <c:delete val="1"/>
        <c:axPos val="l"/>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0114432"/>
        <c:crosses val="autoZero"/>
        <c:crossBetween val="between"/>
      </c:valAx>
      <c:spPr>
        <a:noFill/>
        <a:ln>
          <a:noFill/>
        </a:ln>
        <a:effectLst/>
      </c:spPr>
    </c:plotArea>
    <c:legend>
      <c:legendPos val="t"/>
      <c:layout>
        <c:manualLayout>
          <c:xMode val="edge"/>
          <c:yMode val="edge"/>
          <c:x val="0.464499681325685"/>
          <c:y val="0.0501978239366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447418738049"/>
          <c:y val="0.115228636868831"/>
          <c:w val="0.721600000000002"/>
          <c:h val="0.79942693409742"/>
        </c:manualLayout>
      </c:layout>
      <c:barChart>
        <c:barDir val="col"/>
        <c:grouping val="clustered"/>
        <c:varyColors val="0"/>
        <c:ser>
          <c:idx val="0"/>
          <c:order val="0"/>
          <c:tx>
            <c:strRef>
              <c:f>Sheet1!$A$3</c:f>
              <c:strCache>
                <c:ptCount val="1"/>
                <c:pt idx="0">
                  <c:v>2022</c:v>
                </c:pt>
              </c:strCache>
            </c:strRef>
          </c:tx>
          <c:spPr>
            <a:solidFill>
              <a:schemeClr val="accent1"/>
            </a:solidFill>
            <a:ln>
              <a:noFill/>
            </a:ln>
            <a:effectLst/>
          </c:spPr>
          <c:invertIfNegative val="0"/>
          <c:dLbls>
            <c:dLbl>
              <c:idx val="0"/>
              <c:layout>
                <c:manualLayout>
                  <c:x val="-0.00165710643722116"/>
                  <c:y val="-0.02880389973157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540000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财政拨款</c:v>
                </c:pt>
              </c:strCache>
            </c:strRef>
          </c:cat>
          <c:val>
            <c:numRef>
              <c:f>Sheet1!$B$3:$B$3</c:f>
              <c:numCache>
                <c:formatCode>General</c:formatCode>
                <c:ptCount val="1"/>
                <c:pt idx="0">
                  <c:v>3271.37</c:v>
                </c:pt>
              </c:numCache>
            </c:numRef>
          </c:val>
        </c:ser>
        <c:ser>
          <c:idx val="1"/>
          <c:order val="1"/>
          <c:tx>
            <c:strRef>
              <c:f>Sheet1!$A$2</c:f>
              <c:strCache>
                <c:ptCount val="1"/>
                <c:pt idx="0">
                  <c:v>2021</c:v>
                </c:pt>
              </c:strCache>
            </c:strRef>
          </c:tx>
          <c:spPr>
            <a:solidFill>
              <a:schemeClr val="accent2"/>
            </a:solidFill>
            <a:ln>
              <a:noFill/>
            </a:ln>
            <a:effectLst/>
          </c:spPr>
          <c:invertIfNegative val="0"/>
          <c:dLbls>
            <c:dLbl>
              <c:idx val="0"/>
              <c:layout>
                <c:manualLayout>
                  <c:x val="0.00408605712048903"/>
                  <c:y val="0.00456686706663253"/>
                </c:manualLayout>
              </c:layout>
              <c:numFmt formatCode="General" sourceLinked="1"/>
              <c:spPr>
                <a:noFill/>
                <a:ln>
                  <a:noFill/>
                </a:ln>
                <a:effectLst/>
              </c:spPr>
              <c:txPr>
                <a:bodyPr rot="-5400000" spcFirstLastPara="1" vertOverflow="clip"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33460803059273"/>
                      <c:h val="0.135125046659201"/>
                    </c:manualLayout>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财政拨款</c:v>
                </c:pt>
              </c:strCache>
            </c:strRef>
          </c:cat>
          <c:val>
            <c:numRef>
              <c:f>Sheet1!$B$2:$B$2</c:f>
              <c:numCache>
                <c:formatCode>#,##0.00</c:formatCode>
                <c:ptCount val="1"/>
                <c:pt idx="0">
                  <c:v>1539.72</c:v>
                </c:pt>
              </c:numCache>
            </c:numRef>
          </c:val>
        </c:ser>
        <c:dLbls>
          <c:showLegendKey val="0"/>
          <c:showVal val="1"/>
          <c:showCatName val="0"/>
          <c:showSerName val="0"/>
          <c:showPercent val="0"/>
          <c:showBubbleSize val="0"/>
        </c:dLbls>
        <c:gapWidth val="444"/>
        <c:overlap val="-90"/>
        <c:axId val="230195584"/>
        <c:axId val="230197120"/>
      </c:barChart>
      <c:catAx>
        <c:axId val="23019558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in"/>
        <c:minorTickMark val="none"/>
        <c:tickLblPos val="low"/>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30197120"/>
        <c:crosses val="autoZero"/>
        <c:auto val="1"/>
        <c:lblAlgn val="ctr"/>
        <c:lblOffset val="100"/>
        <c:tickLblSkip val="1"/>
        <c:noMultiLvlLbl val="0"/>
      </c:catAx>
      <c:valAx>
        <c:axId val="230197120"/>
        <c:scaling>
          <c:orientation val="minMax"/>
        </c:scaling>
        <c:delete val="1"/>
        <c:axPos val="l"/>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0195584"/>
        <c:crosses val="autoZero"/>
        <c:crossBetween val="between"/>
      </c:valAx>
      <c:spPr>
        <a:noFill/>
        <a:ln>
          <a:noFill/>
        </a:ln>
        <a:effectLst/>
      </c:spPr>
    </c:plotArea>
    <c:legend>
      <c:legendPos val="t"/>
      <c:layout>
        <c:manualLayout>
          <c:xMode val="edge"/>
          <c:yMode val="edge"/>
          <c:x val="0.464499681325685"/>
          <c:y val="0.0501978239366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113448056086"/>
          <c:y val="0.11522863686883"/>
          <c:w val="0.721600000000002"/>
          <c:h val="0.79942693409742"/>
        </c:manualLayout>
      </c:layout>
      <c:barChart>
        <c:barDir val="col"/>
        <c:grouping val="clustered"/>
        <c:varyColors val="0"/>
        <c:ser>
          <c:idx val="0"/>
          <c:order val="0"/>
          <c:tx>
            <c:strRef>
              <c:f>Sheet1!$A$3</c:f>
              <c:strCache>
                <c:ptCount val="1"/>
                <c:pt idx="0">
                  <c:v>2022</c:v>
                </c:pt>
              </c:strCache>
            </c:strRef>
          </c:tx>
          <c:spPr>
            <a:solidFill>
              <a:schemeClr val="accent1"/>
            </a:solidFill>
            <a:ln>
              <a:noFill/>
            </a:ln>
            <a:effectLst/>
          </c:spPr>
          <c:invertIfNegative val="0"/>
          <c:dLbls>
            <c:spPr>
              <a:noFill/>
              <a:ln>
                <a:noFill/>
              </a:ln>
              <a:effectLst/>
            </c:spPr>
            <c:txPr>
              <a:bodyPr rot="-540000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一般公共预算财政拨款支出</c:v>
                </c:pt>
              </c:strCache>
            </c:strRef>
          </c:cat>
          <c:val>
            <c:numRef>
              <c:f>Sheet1!$B$3:$B$3</c:f>
              <c:numCache>
                <c:formatCode>General</c:formatCode>
                <c:ptCount val="1"/>
                <c:pt idx="0">
                  <c:v>3271.37</c:v>
                </c:pt>
              </c:numCache>
            </c:numRef>
          </c:val>
        </c:ser>
        <c:ser>
          <c:idx val="1"/>
          <c:order val="1"/>
          <c:tx>
            <c:strRef>
              <c:f>Sheet1!$A$2</c:f>
              <c:strCache>
                <c:ptCount val="1"/>
                <c:pt idx="0">
                  <c:v>2021</c:v>
                </c:pt>
              </c:strCache>
            </c:strRef>
          </c:tx>
          <c:spPr>
            <a:solidFill>
              <a:schemeClr val="accent2"/>
            </a:solidFill>
            <a:ln>
              <a:noFill/>
            </a:ln>
            <a:effectLst/>
          </c:spPr>
          <c:invertIfNegative val="0"/>
          <c:dLbls>
            <c:dLbl>
              <c:idx val="0"/>
              <c:layout>
                <c:manualLayout>
                  <c:x val="0.00408605712048903"/>
                  <c:y val="0.00456686706663253"/>
                </c:manualLayout>
              </c:layout>
              <c:numFmt formatCode="General" sourceLinked="1"/>
              <c:spPr>
                <a:noFill/>
                <a:ln>
                  <a:noFill/>
                </a:ln>
                <a:effectLst/>
              </c:spPr>
              <c:txPr>
                <a:bodyPr rot="-5400000" spcFirstLastPara="1" vertOverflow="clip"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manualLayout>
                      <c:w val="0.133460803059273"/>
                      <c:h val="0.135125046659201"/>
                    </c:manualLayout>
                  </c15:layout>
                </c:ext>
              </c:extLst>
            </c:dLbl>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Sheet1!$B$1:$B$1</c:f>
              <c:strCache>
                <c:ptCount val="1"/>
                <c:pt idx="0">
                  <c:v>一般公共预算财政拨款支出</c:v>
                </c:pt>
              </c:strCache>
            </c:strRef>
          </c:cat>
          <c:val>
            <c:numRef>
              <c:f>Sheet1!$B$2:$B$2</c:f>
              <c:numCache>
                <c:formatCode>#,##0.00</c:formatCode>
                <c:ptCount val="1"/>
                <c:pt idx="0">
                  <c:v>1539.72</c:v>
                </c:pt>
              </c:numCache>
            </c:numRef>
          </c:val>
        </c:ser>
        <c:dLbls>
          <c:showLegendKey val="0"/>
          <c:showVal val="1"/>
          <c:showCatName val="0"/>
          <c:showSerName val="0"/>
          <c:showPercent val="0"/>
          <c:showBubbleSize val="0"/>
        </c:dLbls>
        <c:gapWidth val="444"/>
        <c:overlap val="-90"/>
        <c:axId val="230215040"/>
        <c:axId val="230220928"/>
      </c:barChart>
      <c:catAx>
        <c:axId val="230215040"/>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in"/>
        <c:minorTickMark val="none"/>
        <c:tickLblPos val="low"/>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30220928"/>
        <c:crosses val="autoZero"/>
        <c:auto val="1"/>
        <c:lblAlgn val="ctr"/>
        <c:lblOffset val="100"/>
        <c:tickLblSkip val="1"/>
        <c:noMultiLvlLbl val="0"/>
      </c:catAx>
      <c:valAx>
        <c:axId val="230220928"/>
        <c:scaling>
          <c:orientation val="minMax"/>
        </c:scaling>
        <c:delete val="1"/>
        <c:axPos val="l"/>
        <c:numFmt formatCode="General" sourceLinked="1"/>
        <c:majorTickMark val="in"/>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0215040"/>
        <c:crosses val="autoZero"/>
        <c:crossBetween val="between"/>
      </c:valAx>
      <c:spPr>
        <a:noFill/>
        <a:ln>
          <a:noFill/>
        </a:ln>
        <a:effectLst/>
      </c:spPr>
    </c:plotArea>
    <c:legend>
      <c:legendPos val="t"/>
      <c:layout>
        <c:manualLayout>
          <c:xMode val="edge"/>
          <c:yMode val="edge"/>
          <c:x val="0.464499681325685"/>
          <c:y val="0.0501978239366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8">
    <a:dk1>
      <a:srgbClr val="000000"/>
    </a:dk1>
    <a:lt1>
      <a:srgbClr val="FFFFFF"/>
    </a:lt1>
    <a:dk2>
      <a:srgbClr val="372824"/>
    </a:dk2>
    <a:lt2>
      <a:srgbClr val="FFFFFF"/>
    </a:lt2>
    <a:accent1>
      <a:srgbClr val="FFE84B"/>
    </a:accent1>
    <a:accent2>
      <a:srgbClr val="FFC529"/>
    </a:accent2>
    <a:accent3>
      <a:srgbClr val="FF9F15"/>
    </a:accent3>
    <a:accent4>
      <a:srgbClr val="FA7C00"/>
    </a:accent4>
    <a:accent5>
      <a:srgbClr val="FC6500"/>
    </a:accent5>
    <a:accent6>
      <a:srgbClr val="BE4828"/>
    </a:accent6>
    <a:hlink>
      <a:srgbClr val="F46B1C"/>
    </a:hlink>
    <a:folHlink>
      <a:srgbClr val="C236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7032</Words>
  <Characters>7651</Characters>
  <Lines>84</Lines>
  <Paragraphs>23</Paragraphs>
  <TotalTime>12</TotalTime>
  <ScaleCrop>false</ScaleCrop>
  <LinksUpToDate>false</LinksUpToDate>
  <CharactersWithSpaces>7841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吴妹妹</cp:lastModifiedBy>
  <cp:lastPrinted>2023-07-31T02:35:00Z</cp:lastPrinted>
  <dcterms:modified xsi:type="dcterms:W3CDTF">2023-09-21T01:54:16Z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9E65B22F3E994F3FB465598BA20D9F47_13</vt:lpwstr>
  </property>
</Properties>
</file>